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Тагилин</w:t>
      </w:r>
    </w:p>
    <w:p>
      <w:pPr>
        <w:spacing w:after="160"/>
      </w:pPr>
      <w:r>
        <w:rPr>
          <w:sz w:val="22"/>
          <w:color w:val="6B7280"/>
        </w:rPr>
        <w:t xml:space="preserve">Глазные капли с таурином и гиалуронатом натрия. Стимулируют восстановление тканей глаза при дистрофии роговицы и катаракте.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Капли глазные по 10 мл во флаконе. Прозрачный бесцветный раствор.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1 мл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Таурин — 5,0 мг
                <w:br/>
                Гиалуронат натрия — 2,0 мг
                <w:br/>
                Натрия хлорид, фосфаты, вода очищенная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Таурин</w:t>
      </w:r>
    </w:p>
    <w:p>
      <w:pPr>
        <w:spacing w:after="120"/>
      </w:pPr>
      <w:r>
        <w:rPr>
          <w:sz w:val="22"/>
        </w:rPr>
        <w:t xml:space="preserve">Аминокислота, стимулирующая репаративные и регенерационные процессы при дистрофических заболеваниях сетчатки, травмах тканей глаза и нарушениях метаболизма. Практически не всасывается в системный кровоток.</w:t>
      </w:r>
    </w:p>
    <w:p>
      <w:pPr>
        <w:spacing w:after="20"/>
      </w:pPr>
      <w:r>
        <w:rPr>
          <w:b/>
          <w:sz w:val="22"/>
        </w:rPr>
        <w:t xml:space="preserve">Гиалуронат натрия</w:t>
      </w:r>
    </w:p>
    <w:p>
      <w:pPr>
        <w:spacing w:after="120"/>
      </w:pPr>
      <w:r>
        <w:rPr>
          <w:sz w:val="22"/>
        </w:rPr>
        <w:t xml:space="preserve">Улучшает стабильность слёзной плёнки, сохраняет глазную поверхность увлажнённой и защищённой, создаёт благоприятную среду для восстановления роговицы и конъюнктивы.</w:t>
      </w:r>
    </w:p>
    <w:p>
      <w:pPr>
        <w:spacing w:after="20"/>
      </w:pPr>
      <w:r>
        <w:rPr>
          <w:b/>
          <w:sz w:val="22"/>
        </w:rPr>
        <w:t xml:space="preserve">Совместное действие</w:t>
      </w:r>
    </w:p>
    <w:p>
      <w:pPr>
        <w:spacing w:after="120"/>
      </w:pPr>
      <w:r>
        <w:rPr>
          <w:sz w:val="22"/>
        </w:rPr>
        <w:t xml:space="preserve">Сочетание увлажнения и регенерации поддерживает здоровье глазной поверхности при повышенных нагрузках.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Роговица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Травма и дистрофия роговицы.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Катаракта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Старческая, диабетическая, травматическая и лучевая катаракта.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Сетчатка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Дистрофические заболевания сетчатки.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Увлажнение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Восстановление и защита глазной поверхности.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 катаракте — по 1–2 капли 2–4 раза в день в течение 3 месяцев, курсы повторяют с месячным интервалом. При травмах и дистрофии роговицы — в тех же дозах в течение 1 месяца. Доза устанавливается индивидуально.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компонентам; детский и подростковый возраст до 18 лет; беременность и лактация.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Аллергический конъюнктивит. При нежелательных реакциях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Взаимодействие</w:t>
      </w:r>
    </w:p>
    <w:p>
      <w:pPr>
        <w:spacing w:after="120"/>
      </w:pPr>
      <w:r>
        <w:rPr>
          <w:sz w:val="22"/>
        </w:rPr>
        <w:t xml:space="preserve">Не применять одновременно с другими глазными препаратами; интервал между закапываниями — не менее 15 минут.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Хранение · срок</w:t>
      </w:r>
    </w:p>
    <w:p>
      <w:pPr>
        <w:spacing w:after="120"/>
      </w:pPr>
      <w:r>
        <w:rPr>
          <w:sz w:val="22"/>
        </w:rPr>
        <w:t xml:space="preserve">При температуре не выше 25 °C. 2 года; после вскрытия — 1 месяц. Отпускается без рецепта.</w:t>
      </w:r>
    </w:p>
    <w:p>
      <w:pPr>
        <w:spacing w:after="120"/>
      </w:pPr>
      <w:r>
        <w:rPr>
          <w:sz w:val="18"/>
          <w:color w:val="6B7280"/>
        </w:rPr>
        <w:t xml:space="preserve">Изделие медицинского назначения. Перед применением рекомендуется консультация специалиста. Хранить в недоступном для детей месте. Ts 306766008-011:2021.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