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Трептовелл УМ</w:t>
      </w:r>
    </w:p>
    <w:p>
      <w:pPr>
        <w:spacing w:after="160"/>
      </w:pPr>
      <w:r>
        <w:rPr>
          <w:sz w:val="22"/>
          <w:color w:val="6B7280"/>
        </w:rPr>
        <w:t xml:space="preserve">Капсулы с 5-гидрокситриптофаном. Естественная поддержка настроения, стрессоустойчивости и качественного сна.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Капсулы по 0,5 г, №20.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 1 капсулы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5-гидрокситриптофан (5-HTP) — 100 мг
                <w:br/>
                Вспомогательные: магния стеарат, кукурузный крахмал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5-HTP — предшественник серотонина</w:t>
      </w:r>
    </w:p>
    <w:p>
      <w:pPr>
        <w:spacing w:after="120"/>
      </w:pPr>
      <w:r>
        <w:rPr>
          <w:sz w:val="22"/>
        </w:rPr>
        <w:t xml:space="preserve">Аминокислота, входящая в состав белков и являющаяся предшественником нейромедиатора серотонина — «гормона радости» и позитивного настроя.</w:t>
      </w:r>
    </w:p>
    <w:p>
      <w:pPr>
        <w:spacing w:after="20"/>
      </w:pPr>
      <w:r>
        <w:rPr>
          <w:b/>
          <w:sz w:val="22"/>
        </w:rPr>
        <w:t xml:space="preserve">Естественный антидепрессант</w:t>
      </w:r>
    </w:p>
    <w:p>
      <w:pPr>
        <w:spacing w:after="120"/>
      </w:pPr>
      <w:r>
        <w:rPr>
          <w:sz w:val="22"/>
        </w:rPr>
        <w:t xml:space="preserve">Нелекарственный растительный естественный антидепрессант, способствующий синтезу серотонина и мелатонина — регулятора сна и суточных биоритмов.</w:t>
      </w:r>
    </w:p>
    <w:p>
      <w:pPr>
        <w:spacing w:after="20"/>
      </w:pPr>
      <w:r>
        <w:rPr>
          <w:b/>
          <w:sz w:val="22"/>
        </w:rPr>
        <w:t xml:space="preserve">Накопительный эффект</w:t>
      </w:r>
    </w:p>
    <w:p>
      <w:pPr>
        <w:spacing w:after="120"/>
      </w:pPr>
      <w:r>
        <w:rPr>
          <w:sz w:val="22"/>
        </w:rPr>
        <w:t xml:space="preserve">В отличие от синтетических средств, 5-HTP естественен для организма. Имеет накопительный эффект, повышает дневную активность и работоспособность.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Стресс и настроение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Снижает влияние стресса, тревожность и раздражительность.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Сон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Улучшает качество и продолжительность сна, помогает при смене часовых поясов.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Аппетит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Помогает контролировать аппетит, снижает тягу к сладкому.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Когнитивные функции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Улучшает память, внимание и концентрацию.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Принимается внутрь. Взрослым — по 1 капсуле 1–2 раза в день после еды. При необходимости приём можно увеличить до 4 капсул (максимальная суточная доза 400 мг). Продолжительность приёма — не менее 1 месяца, при необходимости до 6 недель.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Повышенная чувствительность к компонентам, беременность.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Побочные действия</w:t>
      </w:r>
    </w:p>
    <w:p>
      <w:pPr>
        <w:spacing w:after="120"/>
      </w:pPr>
      <w:r>
        <w:rPr>
          <w:sz w:val="22"/>
        </w:rPr>
        <w:t xml:space="preserve">При появлении побочных действий следует прекратить применение и обратиться к врачу.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В сухом, защищённом от света месте, при температуре не выше 25 °C. Хранить в недоступном для детей месте.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Срок годности · отпуск</w:t>
      </w:r>
    </w:p>
    <w:p>
      <w:pPr>
        <w:spacing w:after="120"/>
      </w:pPr>
      <w:r>
        <w:rPr>
          <w:sz w:val="22"/>
        </w:rPr>
        <w:t xml:space="preserve">24 месяца. Отпускается без рецепта. БАД, не является лекарственным средством.</w:t>
      </w:r>
    </w:p>
    <w:p>
      <w:pPr>
        <w:spacing w:after="120"/>
      </w:pPr>
      <w:r>
        <w:rPr>
          <w:sz w:val="18"/>
          <w:color w:val="6B7280"/>
        </w:rPr>
        <w:t xml:space="preserve">БАД. Не является лекарственным средством. Имеет накопительный эффект. Перед применением рекомендуется консультация специалиста. Не превышать рекомендуемые дозы.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