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Триде</w:t>
      </w:r>
    </w:p>
    <w:p>
      <w:pPr>
        <w:spacing w:after="160"/>
      </w:pPr>
      <w:r>
        <w:rPr>
          <w:sz w:val="22"/>
          <w:color w:val="6B7280"/>
        </w:rPr>
        <w:t xml:space="preserve">Спрей для приёма внутрь с витамином D3. Удобная дозировка для крепких костей и иммунитета у детей и взрослых.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Спрей для приёма внутрь, 15 мл (125 доз).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дозу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Холекальциферол (вит. D3) — 500 МЕ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Усвоение кальция</w:t>
      </w:r>
    </w:p>
    <w:p>
      <w:pPr>
        <w:spacing w:after="120"/>
      </w:pPr>
      <w:r>
        <w:rPr>
          <w:sz w:val="22"/>
        </w:rPr>
        <w:t xml:space="preserve">Обеспечивает усвоение кальция и фосфора — важнейших для костной ткани макроэлементов. Необходим для развития костей и связок, здоровья кожи, волос, ногтей и зубов.</w:t>
      </w:r>
    </w:p>
    <w:p>
      <w:pPr>
        <w:spacing w:after="20"/>
      </w:pPr>
      <w:r>
        <w:rPr>
          <w:b/>
          <w:sz w:val="22"/>
        </w:rPr>
        <w:t xml:space="preserve">Обмен веществ</w:t>
      </w:r>
    </w:p>
    <w:p>
      <w:pPr>
        <w:spacing w:after="120"/>
      </w:pPr>
      <w:r>
        <w:rPr>
          <w:sz w:val="22"/>
        </w:rPr>
        <w:t xml:space="preserve">Регулирует обменные процессы в клетках, поддерживает свёртываемость крови, улучшает усвоение углеводов, препятствует образованию холестериновых бляшек.</w:t>
      </w:r>
    </w:p>
    <w:p>
      <w:pPr>
        <w:spacing w:after="20"/>
      </w:pPr>
      <w:r>
        <w:rPr>
          <w:b/>
          <w:sz w:val="22"/>
        </w:rPr>
        <w:t xml:space="preserve">Иммунитет</w:t>
      </w:r>
    </w:p>
    <w:p>
      <w:pPr>
        <w:spacing w:after="120"/>
      </w:pPr>
      <w:r>
        <w:rPr>
          <w:sz w:val="22"/>
        </w:rPr>
        <w:t xml:space="preserve">Стимулирует работу иммунной системы, помогает бороться с вирусами и бактериями, снижает риск аутоиммунных процессов.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Кости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Нормальное развитие костей и связок у детей, здоровье опорно-двигательного аппарата у взрослых.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Стимулирует иммунную систему.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Нервная система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чувствительность нервных волокон, поддерживает нервную систему.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 мышц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Способствует тонусу мышц.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Детям — по 1 дозе (одно нажатие, 0,12 мл) в рот 1 раз в день; взрослым — по 1 дозе 2 раза в день во время еды. Курс приёма — 1 месяц. При необходимости можно повторить по рекомендации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 препарата.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