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Велартриум</w:t>
      </w:r>
    </w:p>
    <w:p>
      <w:pPr>
        <w:spacing w:after="160"/>
      </w:pPr>
      <w:r>
        <w:rPr>
          <w:sz w:val="22"/>
          <w:color w:val="6B7280"/>
        </w:rPr>
        <w:t xml:space="preserve">Порошок для суставов и костей: глюкозамин, МСМ, хондроитин, кальций, гиалуроновая кислота, магний и витамин D3.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Порошок для приготовления суспензии. Без глютена, без лактозы.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Глюкозамина сульфат — 750 мг · МСМ — 750 мг
                <w:br/>
                Хондроитина сульфат — 600 мг · Кальция фосфат — 500 мг
                <w:br/>
                Гиалуроновая кислота — 100 мг · Магния глюконат — 16,2 мг · Вит. D3 — 400 МЕ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Глюкозамин + Хондроитин + МСМ</w:t>
      </w:r>
    </w:p>
    <w:p>
      <w:pPr>
        <w:spacing w:after="120"/>
      </w:pPr>
      <w:r>
        <w:rPr>
          <w:sz w:val="22"/>
        </w:rPr>
        <w:t xml:space="preserve">Хондропротекторы, восстанавливающие и защищающие хрящевую ткань: способствуют синтезу компонентов хряща, замедляют его разрушение, улучшают эластичность и подвижность суставов.</w:t>
      </w:r>
    </w:p>
    <w:p>
      <w:pPr>
        <w:spacing w:after="20"/>
      </w:pPr>
      <w:r>
        <w:rPr>
          <w:b/>
          <w:sz w:val="22"/>
        </w:rPr>
        <w:t xml:space="preserve">Гиалуроновая кислота</w:t>
      </w:r>
    </w:p>
    <w:p>
      <w:pPr>
        <w:spacing w:after="120"/>
      </w:pPr>
      <w:r>
        <w:rPr>
          <w:sz w:val="22"/>
        </w:rPr>
        <w:t xml:space="preserve">Важный компонент суставной (синовиальной) жидкости. Улучшает амортизацию и скольжение суставных поверхностей, способствует удержанию влаги в хрящевой ткани.</w:t>
      </w:r>
    </w:p>
    <w:p>
      <w:pPr>
        <w:spacing w:after="20"/>
      </w:pPr>
      <w:r>
        <w:rPr>
          <w:b/>
          <w:sz w:val="22"/>
        </w:rPr>
        <w:t xml:space="preserve">Кальций, магний и витамин D3</w:t>
      </w:r>
    </w:p>
    <w:p>
      <w:pPr>
        <w:spacing w:after="120"/>
      </w:pPr>
      <w:r>
        <w:rPr>
          <w:sz w:val="22"/>
        </w:rPr>
        <w:t xml:space="preserve">Кальций и магний поддерживают прочность костей и работу мышц. Витамин D3 усиливает усвоение кальция и его направление в костную ткань.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Суставы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здоровья суставов и хрящевой ткани.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Подвижность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Улучшение подвижности и амортизации суставов.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Кости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Поддержание прочности костной ткани.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Профилактика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Возрастные изменения и повышенные нагрузки на суставы.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Содержимое саше растворить в воде и принимать внутрь во время или после еды. Точную дозировку и продолжительность курса уточняйте в инструкции к препарату или у специалиста.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компонентов. При беременности, кормлении грудью и в детском возрасте — после консультации со специалистом.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Не превышать рекомендуемые дозы.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