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Виридин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— растительный флавоноидный комплекс. Поддержка иммунитета и защита от вирусных инфекций.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10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Жидкий экстракт Виридин® (флавоноиды ≥0,32 мг/мл, карбоновые кислоты ≥0,30 мг/мл) из трав щучки дернистой и вейника наземного (1:1)
                <w:br/>
                Этанол 96%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Флавоноидный комплекс</w:t>
      </w:r>
    </w:p>
    <w:p>
      <w:pPr>
        <w:spacing w:after="120"/>
      </w:pPr>
      <w:r>
        <w:rPr>
          <w:sz w:val="22"/>
        </w:rPr>
        <w:t xml:space="preserve">Биологически активные соединения с антиоксидантными свойствами, поддерживают физиологические защитные механизмы организма и защищают клеточные структуры от свободных радикалов.</w:t>
      </w:r>
    </w:p>
    <w:p>
      <w:pPr>
        <w:spacing w:after="20"/>
      </w:pPr>
      <w:r>
        <w:rPr>
          <w:b/>
          <w:sz w:val="22"/>
        </w:rPr>
        <w:t xml:space="preserve">Иммунотропное действие</w:t>
      </w:r>
    </w:p>
    <w:p>
      <w:pPr>
        <w:spacing w:after="120"/>
      </w:pPr>
      <w:r>
        <w:rPr>
          <w:sz w:val="22"/>
        </w:rPr>
        <w:t xml:space="preserve">Поддерживает нормальную работу иммунной системы, защищает слизистые верхних дыхательных путей, нормализует показатели местного иммунитета (лактоферрин, секреторный IgA, лизоцим).</w:t>
      </w:r>
    </w:p>
    <w:p>
      <w:pPr>
        <w:spacing w:after="20"/>
      </w:pPr>
      <w:r>
        <w:rPr>
          <w:b/>
          <w:sz w:val="22"/>
        </w:rPr>
        <w:t xml:space="preserve">Быстрое усвоение</w:t>
      </w:r>
    </w:p>
    <w:p>
      <w:pPr>
        <w:spacing w:after="120"/>
      </w:pPr>
      <w:r>
        <w:rPr>
          <w:sz w:val="22"/>
        </w:rPr>
        <w:t xml:space="preserve">Активные вещества быстро всасываются в кровь, максимальная концентрация — через 20 минут после приёма. Биодоступность при пероральном приёме — 80%.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Герпес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Инфекции, вызванные вирусами простого герпеса (1 и 2 типа), опоясывающий герпес, ветряная оспа.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Вирус Эпштейна—Барр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формы инфекций герпеса 4 и 5 типов (ЦМВ).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Грипп и ОРВИ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 комплексное применение при гриппе и ОРВИ.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ВПЧ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составе комплексной терапии папилломавирусных инфекций.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Перед использованием взболтать. Необходимое количество накапать в воду (1–2 столовые ложки), принимать за 10–15 минут до еды. Для местного применения готовят раствор по схеме из инструкции. Подробные дозировки по возрасту и формам применения —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Язва желудка или двенадцатиперстной кишки.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Редко — аллергические реакции (высыпания, зуд), единичные случаи ЖКТ-расстройства, при местном применении — жжение, зуд, сухость.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Транзиторное повышение температуры до 38 °C не требует отмены. Для предотвращения реинфекции рекомендуется одновременное лечение партнёра.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отпуск</w:t>
      </w:r>
    </w:p>
    <w:p>
      <w:pPr>
        <w:spacing w:after="120"/>
      </w:pPr>
      <w:r>
        <w:rPr>
          <w:sz w:val="22"/>
        </w:rPr>
        <w:t xml:space="preserve">В сухом, защищённом от света месте, не выше 25 °C. 24 месяца. Без рецепта. БАД, не лекарство.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«HVARA» SRL, Piazza IV Novembre 4, Milano,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