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Витадетрим</w:t>
      </w:r>
    </w:p>
    <w:p>
      <w:pPr>
        <w:spacing w:after="160"/>
      </w:pPr>
      <w:r>
        <w:rPr>
          <w:sz w:val="22"/>
          <w:color w:val="6B7280"/>
        </w:rPr>
        <w:t xml:space="preserve">Спрей для приёма внутрь с витамином D3 и экстрактом зелёного чая. Для роста, иммунитета и крепких костей.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Жидкость по 15 мл в полимерных или стеклянных спрей-флаконах.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Холекальциферол (вит. D3) — 4000 МЕ
                <w:br/>
                Экстракт зелёного чая — 2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Витамин D3</w:t>
      </w:r>
    </w:p>
    <w:p>
      <w:pPr>
        <w:spacing w:after="120"/>
      </w:pPr>
      <w:r>
        <w:rPr>
          <w:sz w:val="22"/>
        </w:rPr>
        <w:t xml:space="preserve">Регулирует обмен кальция и фосфора, важен для клеточного деления, развития костной системы, иммунитета, мышц и работы мозга. Способствует всасыванию кальция и фосфора.</w:t>
      </w:r>
    </w:p>
    <w:p>
      <w:pPr>
        <w:spacing w:after="20"/>
      </w:pPr>
      <w:r>
        <w:rPr>
          <w:b/>
          <w:sz w:val="22"/>
        </w:rPr>
        <w:t xml:space="preserve">Экстракт зелёного чая</w:t>
      </w:r>
    </w:p>
    <w:p>
      <w:pPr>
        <w:spacing w:after="120"/>
      </w:pPr>
      <w:r>
        <w:rPr>
          <w:sz w:val="22"/>
        </w:rPr>
        <w:t xml:space="preserve">Содержит полифенолы, витамины и микроэлементы, благотворно влияет на обмен веществ, нервную и сердечно-сосудистую системы, укрепляет стенки сосудов.</w:t>
      </w:r>
    </w:p>
    <w:p>
      <w:pPr>
        <w:spacing w:after="20"/>
      </w:pPr>
      <w:r>
        <w:rPr>
          <w:b/>
          <w:sz w:val="22"/>
        </w:rPr>
        <w:t xml:space="preserve">Общее действие</w:t>
      </w:r>
    </w:p>
    <w:p>
      <w:pPr>
        <w:spacing w:after="120"/>
      </w:pPr>
      <w:r>
        <w:rPr>
          <w:sz w:val="22"/>
        </w:rPr>
        <w:t xml:space="preserve">Защищает от хронической усталости, поддерживает психологическое состояние при нервозности, способствует выносливости и общему укреплению.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Рост и кости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Рост и развитие детей, формирование скелета и зубов.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Профилактика рахита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Снижение риска возникновения рахита.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Сердце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сердечно-сосудистой системы.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Тонус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Защита от усталости, поддержка выносливости.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Спрей для приёма внутрь. Детям старше 1 года — по 1 дозе (400 МЕ) 1–2 раза в день; детям старше 12 лет и взрослым — по 2 дозы (800 МЕ) 1–2 раза в день во время еды. Продолжительность приёма — 1–2 месяца.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лекарством. Перед применением рекомендуется консультация специалиста.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