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80" w:type="dxa"/>
        <w:jc w:val="center"/>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481"/>
        <w:gridCol w:w="3799"/>
      </w:tblGrid>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rPr>
              <w:fldChar w:fldCharType="begin"/>
            </w:r>
            <w:r w:rsidRPr="00D7242A">
              <w:rPr>
                <w:rFonts w:eastAsia="Times New Roman" w:cs="Times New Roman"/>
                <w:b/>
                <w:bCs/>
              </w:rPr>
              <w:instrText xml:space="preserve"> HYPERLINK "http://en.wikipedia.org/wiki/Types_of_business_entity" \o "Types of business entity" </w:instrText>
            </w:r>
            <w:r w:rsidRPr="00D7242A">
              <w:rPr>
                <w:rFonts w:eastAsia="Times New Roman" w:cs="Times New Roman"/>
                <w:b/>
                <w:bCs/>
              </w:rPr>
              <w:fldChar w:fldCharType="separate"/>
            </w:r>
            <w:r w:rsidRPr="00D7242A">
              <w:rPr>
                <w:rFonts w:eastAsia="Times New Roman" w:cs="Times New Roman"/>
                <w:b/>
                <w:bCs/>
              </w:rPr>
              <w:t>Type</w:t>
            </w:r>
            <w:r w:rsidRPr="00D7242A">
              <w:rPr>
                <w:rFonts w:eastAsia="Times New Roman" w:cs="Times New Roman"/>
                <w:b/>
                <w:bCs/>
              </w:rPr>
              <w:fldChar w:fldCharType="end"/>
            </w:r>
          </w:p>
        </w:tc>
        <w:tc>
          <w:tcPr>
            <w:tcW w:w="0" w:type="auto"/>
            <w:shd w:val="clear" w:color="auto" w:fill="F9F9F9"/>
            <w:vAlign w:val="center"/>
            <w:hideMark/>
          </w:tcPr>
          <w:p w:rsidR="00262E3E" w:rsidRPr="00D7242A" w:rsidRDefault="00262E3E" w:rsidP="00262E3E">
            <w:pPr>
              <w:spacing w:before="120" w:after="120" w:line="324" w:lineRule="atLeast"/>
              <w:rPr>
                <w:rFonts w:eastAsia="Times New Roman" w:cs="Times New Roman"/>
              </w:rPr>
            </w:pPr>
            <w:r w:rsidRPr="00D7242A">
              <w:rPr>
                <w:rFonts w:eastAsia="Times New Roman" w:cs="Times New Roman"/>
              </w:rPr>
              <w:t>Public</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812E9E" w:rsidP="00262E3E">
            <w:pPr>
              <w:spacing w:before="120" w:after="120" w:line="276" w:lineRule="atLeast"/>
              <w:rPr>
                <w:rFonts w:eastAsia="Times New Roman" w:cs="Times New Roman"/>
                <w:b/>
                <w:bCs/>
                <w:color w:val="000000"/>
              </w:rPr>
            </w:pPr>
            <w:hyperlink r:id="rId6" w:tooltip="Ticker symbol" w:history="1">
              <w:r w:rsidR="00262E3E" w:rsidRPr="00D7242A">
                <w:rPr>
                  <w:rFonts w:eastAsia="Times New Roman" w:cs="Times New Roman"/>
                  <w:b/>
                  <w:bCs/>
                </w:rPr>
                <w:t>Traded as</w:t>
              </w:r>
            </w:hyperlink>
          </w:p>
        </w:tc>
        <w:tc>
          <w:tcPr>
            <w:tcW w:w="0" w:type="auto"/>
            <w:shd w:val="clear" w:color="auto" w:fill="F9F9F9"/>
            <w:vAlign w:val="center"/>
            <w:hideMark/>
          </w:tcPr>
          <w:p w:rsidR="00262E3E" w:rsidRPr="00D7242A" w:rsidRDefault="00812E9E" w:rsidP="00262E3E">
            <w:pPr>
              <w:spacing w:before="120" w:after="120" w:line="324" w:lineRule="atLeast"/>
              <w:rPr>
                <w:rFonts w:eastAsia="Times New Roman" w:cs="Times New Roman"/>
              </w:rPr>
            </w:pPr>
            <w:hyperlink r:id="rId7" w:tooltip="NASDAQ" w:history="1">
              <w:r w:rsidR="00262E3E" w:rsidRPr="00D7242A">
                <w:rPr>
                  <w:rFonts w:eastAsia="Times New Roman" w:cs="Times New Roman"/>
                </w:rPr>
                <w:t>NASDAQ</w:t>
              </w:r>
            </w:hyperlink>
            <w:r w:rsidR="00262E3E" w:rsidRPr="00D7242A">
              <w:rPr>
                <w:rFonts w:eastAsia="Times New Roman" w:cs="Times New Roman"/>
              </w:rPr>
              <w:t>: </w:t>
            </w:r>
            <w:hyperlink r:id="rId8" w:history="1">
              <w:r w:rsidR="00262E3E" w:rsidRPr="00D7242A">
                <w:rPr>
                  <w:rFonts w:eastAsia="Times New Roman" w:cs="Times New Roman"/>
                </w:rPr>
                <w:t>PRXL</w:t>
              </w:r>
            </w:hyperlink>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Industry</w:t>
            </w:r>
          </w:p>
        </w:tc>
        <w:tc>
          <w:tcPr>
            <w:tcW w:w="0" w:type="auto"/>
            <w:shd w:val="clear" w:color="auto" w:fill="F9F9F9"/>
            <w:vAlign w:val="center"/>
            <w:hideMark/>
          </w:tcPr>
          <w:p w:rsidR="00262E3E" w:rsidRPr="00D7242A" w:rsidRDefault="00812E9E" w:rsidP="00D7242A">
            <w:pPr>
              <w:spacing w:before="120" w:after="120" w:line="324" w:lineRule="atLeast"/>
              <w:rPr>
                <w:rFonts w:eastAsia="Times New Roman" w:cs="Times New Roman"/>
              </w:rPr>
            </w:pPr>
            <w:hyperlink r:id="rId9" w:tooltip="Clinical research organization" w:history="1">
              <w:r w:rsidR="00262E3E" w:rsidRPr="00D7242A">
                <w:rPr>
                  <w:rFonts w:eastAsia="Times New Roman" w:cs="Times New Roman"/>
                </w:rPr>
                <w:t xml:space="preserve">Clinical </w:t>
              </w:r>
              <w:r w:rsidR="00D7242A" w:rsidRPr="00D7242A">
                <w:rPr>
                  <w:rFonts w:eastAsia="Times New Roman" w:cs="Times New Roman"/>
                </w:rPr>
                <w:t>R</w:t>
              </w:r>
              <w:r w:rsidR="00262E3E" w:rsidRPr="00D7242A">
                <w:rPr>
                  <w:rFonts w:eastAsia="Times New Roman" w:cs="Times New Roman"/>
                </w:rPr>
                <w:t xml:space="preserve">esearch </w:t>
              </w:r>
              <w:r w:rsidR="00D7242A" w:rsidRPr="00D7242A">
                <w:rPr>
                  <w:rFonts w:eastAsia="Times New Roman" w:cs="Times New Roman"/>
                </w:rPr>
                <w:t>O</w:t>
              </w:r>
              <w:r w:rsidR="00262E3E" w:rsidRPr="00D7242A">
                <w:rPr>
                  <w:rFonts w:eastAsia="Times New Roman" w:cs="Times New Roman"/>
                </w:rPr>
                <w:t>rganizations</w:t>
              </w:r>
            </w:hyperlink>
            <w:r w:rsidR="00262E3E" w:rsidRPr="00D7242A">
              <w:rPr>
                <w:rFonts w:eastAsia="Times New Roman" w:cs="Times New Roman"/>
              </w:rPr>
              <w:br/>
            </w:r>
            <w:hyperlink r:id="rId10" w:tooltip="Pharmaceutical" w:history="1">
              <w:r w:rsidR="00262E3E" w:rsidRPr="00D7242A">
                <w:rPr>
                  <w:rFonts w:eastAsia="Times New Roman" w:cs="Times New Roman"/>
                </w:rPr>
                <w:t>Pharmaceutical</w:t>
              </w:r>
            </w:hyperlink>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Founded</w:t>
            </w:r>
          </w:p>
        </w:tc>
        <w:tc>
          <w:tcPr>
            <w:tcW w:w="0" w:type="auto"/>
            <w:shd w:val="clear" w:color="auto" w:fill="F9F9F9"/>
            <w:vAlign w:val="center"/>
            <w:hideMark/>
          </w:tcPr>
          <w:p w:rsidR="00262E3E" w:rsidRPr="00D7242A" w:rsidRDefault="00262E3E" w:rsidP="00262E3E">
            <w:pPr>
              <w:spacing w:before="120" w:after="120" w:line="324" w:lineRule="atLeast"/>
              <w:rPr>
                <w:rFonts w:eastAsia="Times New Roman" w:cs="Times New Roman"/>
              </w:rPr>
            </w:pPr>
            <w:r w:rsidRPr="00D7242A">
              <w:rPr>
                <w:rFonts w:eastAsia="Times New Roman" w:cs="Times New Roman"/>
              </w:rPr>
              <w:t>1982</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Headquarters</w:t>
            </w:r>
          </w:p>
        </w:tc>
        <w:tc>
          <w:tcPr>
            <w:tcW w:w="0" w:type="auto"/>
            <w:shd w:val="clear" w:color="auto" w:fill="F9F9F9"/>
            <w:vAlign w:val="center"/>
            <w:hideMark/>
          </w:tcPr>
          <w:p w:rsidR="00262E3E" w:rsidRPr="00D7242A" w:rsidRDefault="00812E9E" w:rsidP="00262E3E">
            <w:pPr>
              <w:spacing w:before="120" w:after="120" w:line="324" w:lineRule="atLeast"/>
              <w:rPr>
                <w:rFonts w:eastAsia="Times New Roman" w:cs="Times New Roman"/>
              </w:rPr>
            </w:pPr>
            <w:hyperlink r:id="rId11" w:tooltip="Waltham, Massachusetts" w:history="1">
              <w:r w:rsidR="00262E3E" w:rsidRPr="00D7242A">
                <w:rPr>
                  <w:rFonts w:eastAsia="Times New Roman" w:cs="Times New Roman"/>
                </w:rPr>
                <w:t>Waltham</w:t>
              </w:r>
            </w:hyperlink>
            <w:r w:rsidR="00262E3E" w:rsidRPr="00D7242A">
              <w:rPr>
                <w:rFonts w:eastAsia="Times New Roman" w:cs="Times New Roman"/>
              </w:rPr>
              <w:t xml:space="preserve">, </w:t>
            </w:r>
            <w:hyperlink r:id="rId12" w:tooltip="Massachusetts" w:history="1">
              <w:r w:rsidR="00262E3E" w:rsidRPr="00D7242A">
                <w:rPr>
                  <w:rFonts w:eastAsia="Times New Roman" w:cs="Times New Roman"/>
                </w:rPr>
                <w:t>Massachusetts</w:t>
              </w:r>
            </w:hyperlink>
            <w:r w:rsidR="00262E3E" w:rsidRPr="00D7242A">
              <w:rPr>
                <w:rFonts w:eastAsia="Times New Roman" w:cs="Times New Roman"/>
              </w:rPr>
              <w:t xml:space="preserve">, </w:t>
            </w:r>
            <w:hyperlink r:id="rId13" w:tooltip="United States of America" w:history="1">
              <w:r w:rsidR="00262E3E" w:rsidRPr="00D7242A">
                <w:rPr>
                  <w:rFonts w:eastAsia="Times New Roman" w:cs="Times New Roman"/>
                </w:rPr>
                <w:t>United States of America</w:t>
              </w:r>
            </w:hyperlink>
            <w:r w:rsidR="00262E3E" w:rsidRPr="00D7242A">
              <w:rPr>
                <w:rFonts w:eastAsia="Times New Roman" w:cs="Times New Roman"/>
              </w:rPr>
              <w:t>;</w:t>
            </w:r>
            <w:r w:rsidR="00262E3E" w:rsidRPr="00D7242A">
              <w:rPr>
                <w:rFonts w:eastAsia="Times New Roman" w:cs="Times New Roman"/>
              </w:rPr>
              <w:br/>
              <w:t>76+ facilities in 50+ countries</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Key people</w:t>
            </w:r>
          </w:p>
        </w:tc>
        <w:tc>
          <w:tcPr>
            <w:tcW w:w="0" w:type="auto"/>
            <w:shd w:val="clear" w:color="auto" w:fill="F9F9F9"/>
            <w:vAlign w:val="center"/>
            <w:hideMark/>
          </w:tcPr>
          <w:p w:rsidR="00262E3E" w:rsidRPr="00D7242A" w:rsidRDefault="00262E3E" w:rsidP="00262E3E">
            <w:pPr>
              <w:spacing w:before="120" w:after="120" w:line="324" w:lineRule="atLeast"/>
              <w:rPr>
                <w:rFonts w:eastAsia="Times New Roman" w:cs="Times New Roman"/>
              </w:rPr>
            </w:pPr>
            <w:r w:rsidRPr="00D7242A">
              <w:rPr>
                <w:rFonts w:eastAsia="Times New Roman" w:cs="Times New Roman"/>
              </w:rPr>
              <w:t>Chairman and CEO:</w:t>
            </w:r>
            <w:r w:rsidRPr="00D7242A">
              <w:rPr>
                <w:rFonts w:eastAsia="Times New Roman" w:cs="Times New Roman"/>
              </w:rPr>
              <w:br/>
              <w:t>Josef H. von Rickenbach</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Products</w:t>
            </w:r>
          </w:p>
        </w:tc>
        <w:tc>
          <w:tcPr>
            <w:tcW w:w="0" w:type="auto"/>
            <w:shd w:val="clear" w:color="auto" w:fill="F9F9F9"/>
            <w:vAlign w:val="center"/>
            <w:hideMark/>
          </w:tcPr>
          <w:p w:rsidR="00262E3E" w:rsidRPr="00D7242A" w:rsidRDefault="003163C0" w:rsidP="003163C0">
            <w:pPr>
              <w:spacing w:before="120" w:after="120" w:line="324" w:lineRule="atLeast"/>
              <w:rPr>
                <w:rFonts w:eastAsia="Times New Roman" w:cs="Times New Roman"/>
              </w:rPr>
            </w:pPr>
            <w:r w:rsidRPr="00D7242A">
              <w:rPr>
                <w:rFonts w:eastAsia="Times New Roman" w:cs="Times New Roman"/>
              </w:rPr>
              <w:t>B</w:t>
            </w:r>
            <w:r w:rsidR="00262E3E" w:rsidRPr="00D7242A">
              <w:rPr>
                <w:rFonts w:eastAsia="Times New Roman" w:cs="Times New Roman"/>
              </w:rPr>
              <w:t>iopharmaceutical product development</w:t>
            </w:r>
            <w:r w:rsidR="00262E3E" w:rsidRPr="00D7242A">
              <w:rPr>
                <w:rFonts w:eastAsia="Times New Roman" w:cs="Times New Roman"/>
              </w:rPr>
              <w:br/>
            </w:r>
            <w:r w:rsidRPr="00D7242A">
              <w:rPr>
                <w:rFonts w:eastAsia="Times New Roman" w:cs="Times New Roman"/>
              </w:rPr>
              <w:t>Regulatory consulting</w:t>
            </w:r>
            <w:r w:rsidRPr="00D7242A">
              <w:rPr>
                <w:rFonts w:eastAsia="Times New Roman" w:cs="Times New Roman"/>
              </w:rPr>
              <w:br/>
              <w:t>Clinical trials management</w:t>
            </w:r>
            <w:r w:rsidRPr="00D7242A">
              <w:rPr>
                <w:rFonts w:eastAsia="Times New Roman" w:cs="Times New Roman"/>
              </w:rPr>
              <w:br/>
              <w:t>A</w:t>
            </w:r>
            <w:r w:rsidR="00262E3E" w:rsidRPr="00D7242A">
              <w:rPr>
                <w:rFonts w:eastAsia="Times New Roman" w:cs="Times New Roman"/>
              </w:rPr>
              <w:t>dvanced eClinical technology solutions, including EDC and medical imaging</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Revenue</w:t>
            </w:r>
          </w:p>
        </w:tc>
        <w:tc>
          <w:tcPr>
            <w:tcW w:w="0" w:type="auto"/>
            <w:shd w:val="clear" w:color="auto" w:fill="F9F9F9"/>
            <w:vAlign w:val="center"/>
            <w:hideMark/>
          </w:tcPr>
          <w:p w:rsidR="00262E3E" w:rsidRPr="00D7242A" w:rsidRDefault="00262E3E" w:rsidP="00262E3E">
            <w:pPr>
              <w:spacing w:before="120" w:after="120" w:line="324" w:lineRule="atLeast"/>
              <w:rPr>
                <w:rFonts w:eastAsia="Times New Roman" w:cs="Times New Roman"/>
              </w:rPr>
            </w:pPr>
            <w:r w:rsidRPr="00D7242A">
              <w:rPr>
                <w:rFonts w:eastAsia="Times New Roman" w:cs="Times New Roman"/>
                <w:noProof/>
              </w:rPr>
              <w:drawing>
                <wp:inline distT="0" distB="0" distL="0" distR="0" wp14:anchorId="15EBBCF3" wp14:editId="0FBC833B">
                  <wp:extent cx="104775" cy="104775"/>
                  <wp:effectExtent l="0" t="0" r="9525" b="9525"/>
                  <wp:docPr id="2" name="Picture 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re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7242A">
              <w:rPr>
                <w:rFonts w:eastAsia="Times New Roman" w:cs="Times New Roman"/>
              </w:rPr>
              <w:t>$1.734B for FY13</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Employees</w:t>
            </w:r>
          </w:p>
        </w:tc>
        <w:tc>
          <w:tcPr>
            <w:tcW w:w="0" w:type="auto"/>
            <w:shd w:val="clear" w:color="auto" w:fill="F9F9F9"/>
            <w:vAlign w:val="center"/>
            <w:hideMark/>
          </w:tcPr>
          <w:p w:rsidR="00262E3E" w:rsidRPr="00D7242A" w:rsidRDefault="00262E3E" w:rsidP="00262E3E">
            <w:pPr>
              <w:spacing w:before="120" w:after="120" w:line="324" w:lineRule="atLeast"/>
              <w:rPr>
                <w:rFonts w:eastAsia="Times New Roman" w:cs="Times New Roman"/>
              </w:rPr>
            </w:pPr>
            <w:r w:rsidRPr="00D7242A">
              <w:rPr>
                <w:rFonts w:eastAsia="Times New Roman" w:cs="Times New Roman"/>
              </w:rPr>
              <w:t>15,000</w:t>
            </w:r>
          </w:p>
        </w:tc>
      </w:tr>
      <w:tr w:rsidR="00262E3E" w:rsidRPr="00D7242A" w:rsidTr="003163C0">
        <w:trPr>
          <w:tblCellSpacing w:w="15" w:type="dxa"/>
          <w:jc w:val="center"/>
        </w:trPr>
        <w:tc>
          <w:tcPr>
            <w:tcW w:w="0" w:type="auto"/>
            <w:shd w:val="clear" w:color="auto" w:fill="F9F9F9"/>
            <w:tcMar>
              <w:top w:w="53" w:type="dxa"/>
              <w:left w:w="48" w:type="dxa"/>
              <w:bottom w:w="48" w:type="dxa"/>
              <w:right w:w="120" w:type="dxa"/>
            </w:tcMar>
            <w:vAlign w:val="center"/>
            <w:hideMark/>
          </w:tcPr>
          <w:p w:rsidR="00262E3E" w:rsidRPr="00D7242A" w:rsidRDefault="00262E3E" w:rsidP="00262E3E">
            <w:pPr>
              <w:spacing w:before="120" w:after="120" w:line="276" w:lineRule="atLeast"/>
              <w:rPr>
                <w:rFonts w:eastAsia="Times New Roman" w:cs="Times New Roman"/>
                <w:b/>
                <w:bCs/>
                <w:color w:val="000000"/>
              </w:rPr>
            </w:pPr>
            <w:r w:rsidRPr="00D7242A">
              <w:rPr>
                <w:rFonts w:eastAsia="Times New Roman" w:cs="Times New Roman"/>
                <w:b/>
                <w:bCs/>
                <w:color w:val="000000"/>
              </w:rPr>
              <w:t>Website</w:t>
            </w:r>
          </w:p>
        </w:tc>
        <w:tc>
          <w:tcPr>
            <w:tcW w:w="0" w:type="auto"/>
            <w:shd w:val="clear" w:color="auto" w:fill="F9F9F9"/>
            <w:vAlign w:val="center"/>
            <w:hideMark/>
          </w:tcPr>
          <w:p w:rsidR="00262E3E" w:rsidRPr="00D7242A" w:rsidRDefault="00812E9E" w:rsidP="00262E3E">
            <w:pPr>
              <w:spacing w:before="120" w:after="120" w:line="324" w:lineRule="atLeast"/>
              <w:rPr>
                <w:rFonts w:eastAsia="Times New Roman" w:cs="Times New Roman"/>
              </w:rPr>
            </w:pPr>
            <w:hyperlink r:id="rId15" w:history="1">
              <w:r w:rsidR="00262E3E" w:rsidRPr="00D7242A">
                <w:rPr>
                  <w:rFonts w:eastAsia="Times New Roman" w:cs="Times New Roman"/>
                </w:rPr>
                <w:t>www.parexel.com</w:t>
              </w:r>
            </w:hyperlink>
          </w:p>
        </w:tc>
      </w:tr>
    </w:tbl>
    <w:p w:rsidR="00262E3E" w:rsidRPr="00D7242A" w:rsidRDefault="00262E3E" w:rsidP="00262E3E"/>
    <w:p w:rsidR="003163C0" w:rsidRPr="00D7242A" w:rsidRDefault="003163C0" w:rsidP="003163C0">
      <w:r w:rsidRPr="00D7242A">
        <w:t>PAREXEL International is a multinational, and one of the largest contra</w:t>
      </w:r>
      <w:r w:rsidR="00D852ED">
        <w:t xml:space="preserve">ct research organizations (CRO). </w:t>
      </w:r>
      <w:r w:rsidR="00D852ED" w:rsidRPr="00D7242A">
        <w:t xml:space="preserve">PAREXEL is headquartered near Boston, Massachusetts, and operates in 80 locations in 55 countries on five continents. </w:t>
      </w:r>
      <w:r w:rsidR="00D852ED">
        <w:t xml:space="preserve">Parexel was </w:t>
      </w:r>
      <w:r w:rsidR="00D852ED" w:rsidRPr="00D7242A">
        <w:t>founded</w:t>
      </w:r>
      <w:r w:rsidRPr="00D7242A">
        <w:t xml:space="preserve"> in 1982 by Josef H. von Rickenbach (still current CEO) and Anne </w:t>
      </w:r>
      <w:proofErr w:type="spellStart"/>
      <w:r w:rsidRPr="00D7242A">
        <w:t>Sayigh</w:t>
      </w:r>
      <w:proofErr w:type="spellEnd"/>
      <w:r w:rsidRPr="00D7242A">
        <w:t>.</w:t>
      </w:r>
      <w:r w:rsidR="00D852ED">
        <w:t xml:space="preserve"> </w:t>
      </w:r>
      <w:r w:rsidRPr="00D7242A">
        <w:t xml:space="preserve"> It provides services for companies in the pharmaceutical, biotechnology and medical device industries, including consulting, clinical studies and market launch. The name PAREXEL comes from Paracelsus, a Swiss physician considered as the father of modern toxicology</w:t>
      </w:r>
      <w:proofErr w:type="gramStart"/>
      <w:r w:rsidRPr="00D7242A">
        <w:t>.[</w:t>
      </w:r>
      <w:proofErr w:type="gramEnd"/>
      <w:r w:rsidRPr="00D7242A">
        <w:t xml:space="preserve">1] PAREXEL employs more than 15,000 people worldwide in over 50 countries[2] and has supported all of the top 20 leading biotechnology companies, all of the top 10 largest pharmaceutical companies[1] and nearly all of the 50 </w:t>
      </w:r>
      <w:r w:rsidRPr="00D7242A">
        <w:lastRenderedPageBreak/>
        <w:t xml:space="preserve">best-selling drugs on the market.[3]The company has been ranked to </w:t>
      </w:r>
      <w:proofErr w:type="spellStart"/>
      <w:r w:rsidRPr="00D7242A">
        <w:t>FlexJobs</w:t>
      </w:r>
      <w:proofErr w:type="spellEnd"/>
      <w:r w:rsidRPr="00D7242A">
        <w:t>' list of 100 Top Companies for Remote Jobs in 2014.[4]</w:t>
      </w:r>
    </w:p>
    <w:p w:rsidR="003163C0" w:rsidRPr="00D7242A" w:rsidRDefault="003163C0" w:rsidP="003163C0">
      <w:r w:rsidRPr="00D7242A">
        <w:t xml:space="preserve">The company provides services during all phases of the development of a drug, from planning to commercialization. It includes strategy development, clinical trials management, data management, biostatistical analysis, regulatory affairs, drug development consulting, medical marketing, </w:t>
      </w:r>
      <w:r w:rsidR="00D852ED" w:rsidRPr="00D7242A">
        <w:t>and training</w:t>
      </w:r>
      <w:r w:rsidRPr="00D7242A">
        <w:t>, publishing and advanced eClinical technology solutions.</w:t>
      </w:r>
    </w:p>
    <w:p w:rsidR="003163C0" w:rsidRDefault="00D852ED" w:rsidP="003163C0">
      <w:r>
        <w:t>Parexel has</w:t>
      </w:r>
      <w:r w:rsidR="003163C0" w:rsidRPr="00D7242A">
        <w:t xml:space="preserve"> expertise and facilities in more places worldwide to advance your journey through the development process, including the top emerging markets.  </w:t>
      </w:r>
    </w:p>
    <w:p w:rsidR="00D852ED" w:rsidRDefault="00D852ED" w:rsidP="00D852ED">
      <w:pPr>
        <w:spacing w:before="100" w:beforeAutospacing="1" w:after="100" w:afterAutospacing="1"/>
        <w:rPr>
          <w:rStyle w:val="Hyperlink"/>
          <w:b/>
          <w:color w:val="auto"/>
        </w:rPr>
      </w:pPr>
      <w:r w:rsidRPr="00D7242A">
        <w:t xml:space="preserve">Over the past 30 years, PAREXEL has developed significant expertise to assist clients in the worldwide pharmaceutical, biotechnology and medical device industries with the development and launch of their products in order to bring safe and effective treatments to the global marketplace for the patients who need them. Headquartered near Boston, Massachusetts, PAREXEL operates in more than 75 locations throughout 50+ countries around the world, and has over 15000+ employees. We are a leading global bio/pharmaceutical services organization that helps clients expedite time-to-market through our development and launch services. These include a broad range of clinical development capabilities, integrated advanced technologies, regulatory affairs consulting, and commercialization services. For more information about PAREXEL International visit </w:t>
      </w:r>
      <w:hyperlink r:id="rId16" w:tgtFrame="_blank" w:history="1">
        <w:r w:rsidRPr="00D852ED">
          <w:rPr>
            <w:rStyle w:val="Hyperlink"/>
            <w:b/>
            <w:color w:val="auto"/>
          </w:rPr>
          <w:t>www.PAREXEL.com</w:t>
        </w:r>
      </w:hyperlink>
    </w:p>
    <w:p w:rsidR="00F70674" w:rsidRDefault="00D852ED" w:rsidP="00D852ED">
      <w:pPr>
        <w:spacing w:after="120"/>
        <w:rPr>
          <w:lang w:val="en"/>
        </w:rPr>
      </w:pPr>
      <w:r w:rsidRPr="00D7242A">
        <w:rPr>
          <w:lang w:val="en"/>
        </w:rPr>
        <w:t xml:space="preserve">PAREXEL International is a leading global biopharmaceutical services provider, which continues to be a premier, trusted partner to clients who rely on the Company for expertise and flexibility, as well as the efficiencies of a worldwide infrastructure, to help them more quickly achieve their development and commercialization goals. For over 30 years, PAREXEL has complemented client organizations with strategic insight, deep scientific knowledge, tactical expertise, and a wealth of experience throughout the development process. The Company's offerings include worldwide regulatory expertise, Phase I-IV clinical research services, eClinical technologies that accelerate development, and integrated commercialization services. PAREXEL is focused on providing tailored solutions that match a client's specific needs by applying the right blend of resources and capabilities, as well as the right guidance and high level of quality needed to help them bring safe and effective treatments to patients sooner. </w:t>
      </w:r>
    </w:p>
    <w:p w:rsidR="00F70674" w:rsidRPr="00F70674" w:rsidRDefault="00F70674" w:rsidP="00D852ED">
      <w:pPr>
        <w:spacing w:after="120"/>
        <w:rPr>
          <w:b/>
          <w:lang w:val="en"/>
        </w:rPr>
      </w:pPr>
      <w:r w:rsidRPr="00F70674">
        <w:rPr>
          <w:b/>
          <w:lang w:val="en"/>
        </w:rPr>
        <w:t>Service Offerings:</w:t>
      </w:r>
    </w:p>
    <w:p w:rsidR="00F70674" w:rsidRPr="00F70674" w:rsidRDefault="00F70674" w:rsidP="00F70674">
      <w:pPr>
        <w:pStyle w:val="ListParagraph"/>
        <w:numPr>
          <w:ilvl w:val="0"/>
          <w:numId w:val="1"/>
        </w:numPr>
        <w:spacing w:after="120" w:line="360" w:lineRule="auto"/>
        <w:rPr>
          <w:lang w:val="en"/>
        </w:rPr>
      </w:pPr>
      <w:r w:rsidRPr="00F70674">
        <w:rPr>
          <w:lang w:val="en"/>
        </w:rPr>
        <w:t>Clinical Research Services- CRS</w:t>
      </w:r>
    </w:p>
    <w:p w:rsidR="00F70674" w:rsidRPr="00F70674" w:rsidRDefault="00F70674" w:rsidP="00F70674">
      <w:pPr>
        <w:pStyle w:val="ListParagraph"/>
        <w:numPr>
          <w:ilvl w:val="0"/>
          <w:numId w:val="1"/>
        </w:numPr>
        <w:spacing w:after="120" w:line="360" w:lineRule="auto"/>
        <w:rPr>
          <w:lang w:val="en"/>
        </w:rPr>
      </w:pPr>
      <w:r w:rsidRPr="00F70674">
        <w:rPr>
          <w:lang w:val="en"/>
        </w:rPr>
        <w:t>Informatics- Perceptive OR Parexel Informatics</w:t>
      </w:r>
    </w:p>
    <w:p w:rsidR="00D852ED" w:rsidRPr="00F70674" w:rsidRDefault="00F70674" w:rsidP="00F70674">
      <w:pPr>
        <w:pStyle w:val="ListParagraph"/>
        <w:numPr>
          <w:ilvl w:val="0"/>
          <w:numId w:val="1"/>
        </w:numPr>
        <w:spacing w:after="120" w:line="360" w:lineRule="auto"/>
        <w:rPr>
          <w:b/>
        </w:rPr>
      </w:pPr>
      <w:r w:rsidRPr="00F70674">
        <w:rPr>
          <w:lang w:val="en"/>
        </w:rPr>
        <w:t>Consulting- Parexel Consulting- PI</w:t>
      </w:r>
      <w:r w:rsidR="00D852ED" w:rsidRPr="00F70674">
        <w:rPr>
          <w:lang w:val="en"/>
        </w:rPr>
        <w:br/>
      </w:r>
    </w:p>
    <w:p w:rsidR="003163C0" w:rsidRPr="00D852ED" w:rsidRDefault="00D852ED" w:rsidP="00D852ED">
      <w:pPr>
        <w:spacing w:after="120"/>
        <w:rPr>
          <w:b/>
        </w:rPr>
      </w:pPr>
      <w:r w:rsidRPr="00D852ED">
        <w:rPr>
          <w:b/>
        </w:rPr>
        <w:t>Careers with Parexel:</w:t>
      </w:r>
      <w:r>
        <w:t xml:space="preserve"> </w:t>
      </w:r>
      <w:r w:rsidR="003163C0" w:rsidRPr="00D7242A">
        <w:t>With every clinical trial you work on at PAREXEL, you will be exposed to the future of medicine—contributing to significant life-saving advances and new treatments that are changing lives. If you are inspired to make a difference in the world, we can help you make it possible.</w:t>
      </w:r>
    </w:p>
    <w:p w:rsidR="00262E3E" w:rsidRDefault="003163C0" w:rsidP="00262E3E">
      <w:r w:rsidRPr="00D7242A">
        <w:lastRenderedPageBreak/>
        <w:t>As a premier service provider to the global biopharmaceutical industry, we give you the opportunity to work with industry-leading clients in an exciting, collaborative environment where career choices and development paths are abundant, and projects are challenging. In fact, PAREXEL works with the top 50 global pharmaceutical companies, the top global biotech companies, and hundreds of small and emerging companies. We have supported the development of some of the most important treatments of our time, including nearly all of the 50 top selling drugs currently on the market.</w:t>
      </w:r>
    </w:p>
    <w:p w:rsidR="00F70674" w:rsidRPr="00F70674" w:rsidRDefault="00F70674" w:rsidP="00F70674">
      <w:pPr>
        <w:rPr>
          <w:b/>
          <w:bCs/>
        </w:rPr>
      </w:pPr>
      <w:r w:rsidRPr="00F70674">
        <w:rPr>
          <w:b/>
          <w:bCs/>
        </w:rPr>
        <w:t>Our Vision</w:t>
      </w:r>
    </w:p>
    <w:p w:rsidR="00F70674" w:rsidRPr="00F70674" w:rsidRDefault="00F70674" w:rsidP="00F70674">
      <w:r w:rsidRPr="00F70674">
        <w:t>PAREXEL strives to be the premier provider to the biopharmaceutical and medical device industries for the development and commercialization of new medical therapies worldwide.</w:t>
      </w:r>
    </w:p>
    <w:p w:rsidR="00F70674" w:rsidRPr="00F70674" w:rsidRDefault="00F70674" w:rsidP="00F70674">
      <w:pPr>
        <w:rPr>
          <w:b/>
          <w:bCs/>
        </w:rPr>
      </w:pPr>
      <w:r w:rsidRPr="00F70674">
        <w:rPr>
          <w:b/>
          <w:bCs/>
        </w:rPr>
        <w:t>Our Mission</w:t>
      </w:r>
    </w:p>
    <w:p w:rsidR="00F70674" w:rsidRPr="00F70674" w:rsidRDefault="00F70674" w:rsidP="00F70674">
      <w:r w:rsidRPr="00F70674">
        <w:t>PAREXEL's mission is to combine the strength of our expertise, experience and innovation to advance the worldwide success of the biopharmaceutical and medical device industries in preventing and curing disease.</w:t>
      </w:r>
    </w:p>
    <w:p w:rsidR="00F70674" w:rsidRPr="00F70674" w:rsidRDefault="00F70674" w:rsidP="00F70674">
      <w:pPr>
        <w:rPr>
          <w:b/>
          <w:bCs/>
        </w:rPr>
      </w:pPr>
      <w:r w:rsidRPr="00F70674">
        <w:rPr>
          <w:b/>
          <w:bCs/>
        </w:rPr>
        <w:t>We Believe</w:t>
      </w:r>
    </w:p>
    <w:p w:rsidR="00F70674" w:rsidRPr="00F70674" w:rsidRDefault="00F70674" w:rsidP="00F70674">
      <w:r w:rsidRPr="00F70674">
        <w:t>PAREXEL believes the world would be a healthier place if the journey between science and new treatments were simpler.</w:t>
      </w:r>
    </w:p>
    <w:p w:rsidR="00F70674" w:rsidRPr="00F70674" w:rsidRDefault="00F70674" w:rsidP="00F70674">
      <w:pPr>
        <w:rPr>
          <w:b/>
          <w:bCs/>
        </w:rPr>
      </w:pPr>
      <w:r w:rsidRPr="00F70674">
        <w:rPr>
          <w:b/>
          <w:bCs/>
        </w:rPr>
        <w:t>Our Values</w:t>
      </w:r>
    </w:p>
    <w:p w:rsidR="00F70674" w:rsidRPr="00F70674" w:rsidRDefault="00F70674" w:rsidP="00F70674">
      <w:r w:rsidRPr="00F70674">
        <w:rPr>
          <w:b/>
          <w:bCs/>
        </w:rPr>
        <w:t>Integrity &amp; Ethics</w:t>
      </w:r>
      <w:r w:rsidRPr="00F70674">
        <w:br/>
        <w:t>Do what's right and demand honesty, maintenance of confidentiality and adherence to professional standards of excellence and safety.</w:t>
      </w:r>
    </w:p>
    <w:p w:rsidR="00F70674" w:rsidRPr="00F70674" w:rsidRDefault="00F70674" w:rsidP="00F70674">
      <w:r w:rsidRPr="00F70674">
        <w:rPr>
          <w:b/>
          <w:bCs/>
        </w:rPr>
        <w:t>Client Service &amp; Quality</w:t>
      </w:r>
      <w:r w:rsidRPr="00F70674">
        <w:br/>
        <w:t>Strive to understand our clients' requirements and to meet or exceed their expectations with high quality deliverables and service. Stay flexible and always look for proactive, responsible solutions to ensure client satisfaction. </w:t>
      </w:r>
    </w:p>
    <w:p w:rsidR="00F70674" w:rsidRPr="00F70674" w:rsidRDefault="00F70674" w:rsidP="00F70674">
      <w:r w:rsidRPr="00F70674">
        <w:rPr>
          <w:b/>
          <w:bCs/>
        </w:rPr>
        <w:t>Innovation</w:t>
      </w:r>
      <w:r w:rsidRPr="00F70674">
        <w:br/>
      </w:r>
      <w:proofErr w:type="gramStart"/>
      <w:r w:rsidRPr="00F70674">
        <w:t>Consistently</w:t>
      </w:r>
      <w:proofErr w:type="gramEnd"/>
      <w:r w:rsidRPr="00F70674">
        <w:t xml:space="preserve"> question the status quo and seek opportunities for continuous improvement. Strive for a stimulating work environment open to learning, curiosity and innovation. </w:t>
      </w:r>
    </w:p>
    <w:p w:rsidR="00F70674" w:rsidRPr="00F70674" w:rsidRDefault="00F70674" w:rsidP="00F70674">
      <w:r w:rsidRPr="00F70674">
        <w:rPr>
          <w:b/>
          <w:bCs/>
        </w:rPr>
        <w:t>Sense of Urgency</w:t>
      </w:r>
      <w:r w:rsidRPr="00F70674">
        <w:br/>
        <w:t>Address issues and requests immediately, reasonably and comprehensively.</w:t>
      </w:r>
    </w:p>
    <w:p w:rsidR="00F70674" w:rsidRPr="00F70674" w:rsidRDefault="00F70674" w:rsidP="00F70674">
      <w:r w:rsidRPr="00F70674">
        <w:rPr>
          <w:b/>
          <w:bCs/>
        </w:rPr>
        <w:t>Open Communication</w:t>
      </w:r>
      <w:r w:rsidRPr="00F70674">
        <w:br/>
        <w:t>Share information, expertise and experience. At any given moment we may be students, mentors, teachers or consultants. </w:t>
      </w:r>
    </w:p>
    <w:p w:rsidR="00F70674" w:rsidRPr="00F70674" w:rsidRDefault="00F70674" w:rsidP="00F70674">
      <w:proofErr w:type="gramStart"/>
      <w:r w:rsidRPr="00F70674">
        <w:rPr>
          <w:b/>
          <w:bCs/>
        </w:rPr>
        <w:lastRenderedPageBreak/>
        <w:t>Initiative &amp; Reward</w:t>
      </w:r>
      <w:r w:rsidRPr="00F70674">
        <w:br/>
        <w:t>Encourage resourcefulness, conscientiousness and leadership from each employee.</w:t>
      </w:r>
      <w:proofErr w:type="gramEnd"/>
      <w:r w:rsidRPr="00F70674">
        <w:t xml:space="preserve"> Recognize and reward excellence in performance.</w:t>
      </w:r>
    </w:p>
    <w:p w:rsidR="00F70674" w:rsidRPr="00F70674" w:rsidRDefault="00F70674" w:rsidP="00F70674">
      <w:r w:rsidRPr="00F70674">
        <w:rPr>
          <w:b/>
          <w:bCs/>
        </w:rPr>
        <w:t>Teamwork</w:t>
      </w:r>
      <w:r w:rsidRPr="00F70674">
        <w:br/>
        <w:t>Cooperate and mutually support one another. Sound strategy and creative implementation require diverse talents working in unison. Success for our clients depends on everyone's cooperation and mutual support.</w:t>
      </w:r>
    </w:p>
    <w:p w:rsidR="00F70674" w:rsidRPr="00F70674" w:rsidRDefault="00F70674" w:rsidP="00F70674">
      <w:r w:rsidRPr="00F70674">
        <w:rPr>
          <w:b/>
          <w:bCs/>
        </w:rPr>
        <w:t>Ownership</w:t>
      </w:r>
      <w:r w:rsidRPr="00F70674">
        <w:br/>
        <w:t>Operate with a sense of ownership with respect to our client responsibilities. Manage our financial assets with sound stewardship and a fair return for our investors. </w:t>
      </w:r>
    </w:p>
    <w:p w:rsidR="00F70674" w:rsidRPr="00D7242A" w:rsidRDefault="00F70674" w:rsidP="00262E3E">
      <w:bookmarkStart w:id="0" w:name="_GoBack"/>
      <w:bookmarkEnd w:id="0"/>
    </w:p>
    <w:sectPr w:rsidR="00F70674" w:rsidRPr="00D72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F006E"/>
    <w:multiLevelType w:val="hybridMultilevel"/>
    <w:tmpl w:val="5334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BE3"/>
    <w:rsid w:val="00262E3E"/>
    <w:rsid w:val="003163C0"/>
    <w:rsid w:val="006A3AF0"/>
    <w:rsid w:val="00812E9E"/>
    <w:rsid w:val="00D7242A"/>
    <w:rsid w:val="00D852ED"/>
    <w:rsid w:val="00E22011"/>
    <w:rsid w:val="00F23BE3"/>
    <w:rsid w:val="00F7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E3E"/>
    <w:rPr>
      <w:color w:val="0000FF"/>
      <w:u w:val="single"/>
    </w:rPr>
  </w:style>
  <w:style w:type="paragraph" w:styleId="BalloonText">
    <w:name w:val="Balloon Text"/>
    <w:basedOn w:val="Normal"/>
    <w:link w:val="BalloonTextChar"/>
    <w:uiPriority w:val="99"/>
    <w:semiHidden/>
    <w:unhideWhenUsed/>
    <w:rsid w:val="0026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3E"/>
    <w:rPr>
      <w:rFonts w:ascii="Tahoma" w:hAnsi="Tahoma" w:cs="Tahoma"/>
      <w:sz w:val="16"/>
      <w:szCs w:val="16"/>
    </w:rPr>
  </w:style>
  <w:style w:type="paragraph" w:styleId="ListParagraph">
    <w:name w:val="List Paragraph"/>
    <w:basedOn w:val="Normal"/>
    <w:uiPriority w:val="34"/>
    <w:qFormat/>
    <w:rsid w:val="00F706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E3E"/>
    <w:rPr>
      <w:color w:val="0000FF"/>
      <w:u w:val="single"/>
    </w:rPr>
  </w:style>
  <w:style w:type="paragraph" w:styleId="BalloonText">
    <w:name w:val="Balloon Text"/>
    <w:basedOn w:val="Normal"/>
    <w:link w:val="BalloonTextChar"/>
    <w:uiPriority w:val="99"/>
    <w:semiHidden/>
    <w:unhideWhenUsed/>
    <w:rsid w:val="0026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3E"/>
    <w:rPr>
      <w:rFonts w:ascii="Tahoma" w:hAnsi="Tahoma" w:cs="Tahoma"/>
      <w:sz w:val="16"/>
      <w:szCs w:val="16"/>
    </w:rPr>
  </w:style>
  <w:style w:type="paragraph" w:styleId="ListParagraph">
    <w:name w:val="List Paragraph"/>
    <w:basedOn w:val="Normal"/>
    <w:uiPriority w:val="34"/>
    <w:qFormat/>
    <w:rsid w:val="00F7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6763">
      <w:bodyDiv w:val="1"/>
      <w:marLeft w:val="0"/>
      <w:marRight w:val="0"/>
      <w:marTop w:val="0"/>
      <w:marBottom w:val="0"/>
      <w:divBdr>
        <w:top w:val="none" w:sz="0" w:space="0" w:color="auto"/>
        <w:left w:val="none" w:sz="0" w:space="0" w:color="auto"/>
        <w:bottom w:val="none" w:sz="0" w:space="0" w:color="auto"/>
        <w:right w:val="none" w:sz="0" w:space="0" w:color="auto"/>
      </w:divBdr>
      <w:divsChild>
        <w:div w:id="1076785160">
          <w:marLeft w:val="0"/>
          <w:marRight w:val="0"/>
          <w:marTop w:val="0"/>
          <w:marBottom w:val="0"/>
          <w:divBdr>
            <w:top w:val="none" w:sz="0" w:space="0" w:color="auto"/>
            <w:left w:val="none" w:sz="0" w:space="0" w:color="auto"/>
            <w:bottom w:val="none" w:sz="0" w:space="0" w:color="auto"/>
            <w:right w:val="none" w:sz="0" w:space="0" w:color="auto"/>
          </w:divBdr>
          <w:divsChild>
            <w:div w:id="293293907">
              <w:marLeft w:val="0"/>
              <w:marRight w:val="0"/>
              <w:marTop w:val="0"/>
              <w:marBottom w:val="0"/>
              <w:divBdr>
                <w:top w:val="none" w:sz="0" w:space="0" w:color="auto"/>
                <w:left w:val="none" w:sz="0" w:space="0" w:color="auto"/>
                <w:bottom w:val="none" w:sz="0" w:space="0" w:color="auto"/>
                <w:right w:val="none" w:sz="0" w:space="0" w:color="auto"/>
              </w:divBdr>
              <w:divsChild>
                <w:div w:id="1576207667">
                  <w:marLeft w:val="0"/>
                  <w:marRight w:val="0"/>
                  <w:marTop w:val="0"/>
                  <w:marBottom w:val="0"/>
                  <w:divBdr>
                    <w:top w:val="none" w:sz="0" w:space="0" w:color="auto"/>
                    <w:left w:val="none" w:sz="0" w:space="0" w:color="auto"/>
                    <w:bottom w:val="none" w:sz="0" w:space="0" w:color="auto"/>
                    <w:right w:val="none" w:sz="0" w:space="0" w:color="auto"/>
                  </w:divBdr>
                  <w:divsChild>
                    <w:div w:id="558176370">
                      <w:marLeft w:val="0"/>
                      <w:marRight w:val="0"/>
                      <w:marTop w:val="0"/>
                      <w:marBottom w:val="0"/>
                      <w:divBdr>
                        <w:top w:val="none" w:sz="0" w:space="0" w:color="auto"/>
                        <w:left w:val="none" w:sz="0" w:space="0" w:color="auto"/>
                        <w:bottom w:val="none" w:sz="0" w:space="0" w:color="auto"/>
                        <w:right w:val="none" w:sz="0" w:space="0" w:color="auto"/>
                      </w:divBdr>
                      <w:divsChild>
                        <w:div w:id="20072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0467">
      <w:bodyDiv w:val="1"/>
      <w:marLeft w:val="0"/>
      <w:marRight w:val="0"/>
      <w:marTop w:val="0"/>
      <w:marBottom w:val="0"/>
      <w:divBdr>
        <w:top w:val="none" w:sz="0" w:space="0" w:color="auto"/>
        <w:left w:val="none" w:sz="0" w:space="0" w:color="auto"/>
        <w:bottom w:val="none" w:sz="0" w:space="0" w:color="auto"/>
        <w:right w:val="none" w:sz="0" w:space="0" w:color="auto"/>
      </w:divBdr>
      <w:divsChild>
        <w:div w:id="55933907">
          <w:marLeft w:val="0"/>
          <w:marRight w:val="0"/>
          <w:marTop w:val="0"/>
          <w:marBottom w:val="0"/>
          <w:divBdr>
            <w:top w:val="none" w:sz="0" w:space="0" w:color="auto"/>
            <w:left w:val="none" w:sz="0" w:space="0" w:color="auto"/>
            <w:bottom w:val="none" w:sz="0" w:space="0" w:color="auto"/>
            <w:right w:val="none" w:sz="0" w:space="0" w:color="auto"/>
          </w:divBdr>
          <w:divsChild>
            <w:div w:id="1876501343">
              <w:marLeft w:val="0"/>
              <w:marRight w:val="0"/>
              <w:marTop w:val="0"/>
              <w:marBottom w:val="0"/>
              <w:divBdr>
                <w:top w:val="none" w:sz="0" w:space="0" w:color="auto"/>
                <w:left w:val="none" w:sz="0" w:space="0" w:color="auto"/>
                <w:bottom w:val="none" w:sz="0" w:space="0" w:color="auto"/>
                <w:right w:val="none" w:sz="0" w:space="0" w:color="auto"/>
              </w:divBdr>
              <w:divsChild>
                <w:div w:id="166134086">
                  <w:marLeft w:val="0"/>
                  <w:marRight w:val="0"/>
                  <w:marTop w:val="0"/>
                  <w:marBottom w:val="0"/>
                  <w:divBdr>
                    <w:top w:val="none" w:sz="0" w:space="0" w:color="auto"/>
                    <w:left w:val="none" w:sz="0" w:space="0" w:color="auto"/>
                    <w:bottom w:val="none" w:sz="0" w:space="0" w:color="auto"/>
                    <w:right w:val="none" w:sz="0" w:space="0" w:color="auto"/>
                  </w:divBdr>
                  <w:divsChild>
                    <w:div w:id="327221732">
                      <w:marLeft w:val="0"/>
                      <w:marRight w:val="0"/>
                      <w:marTop w:val="0"/>
                      <w:marBottom w:val="0"/>
                      <w:divBdr>
                        <w:top w:val="none" w:sz="0" w:space="0" w:color="auto"/>
                        <w:left w:val="none" w:sz="0" w:space="0" w:color="auto"/>
                        <w:bottom w:val="none" w:sz="0" w:space="0" w:color="auto"/>
                        <w:right w:val="none" w:sz="0" w:space="0" w:color="auto"/>
                      </w:divBdr>
                      <w:divsChild>
                        <w:div w:id="427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80362">
      <w:bodyDiv w:val="1"/>
      <w:marLeft w:val="0"/>
      <w:marRight w:val="0"/>
      <w:marTop w:val="0"/>
      <w:marBottom w:val="0"/>
      <w:divBdr>
        <w:top w:val="none" w:sz="0" w:space="0" w:color="auto"/>
        <w:left w:val="none" w:sz="0" w:space="0" w:color="auto"/>
        <w:bottom w:val="none" w:sz="0" w:space="0" w:color="auto"/>
        <w:right w:val="none" w:sz="0" w:space="0" w:color="auto"/>
      </w:divBdr>
      <w:divsChild>
        <w:div w:id="1880585261">
          <w:marLeft w:val="0"/>
          <w:marRight w:val="0"/>
          <w:marTop w:val="0"/>
          <w:marBottom w:val="0"/>
          <w:divBdr>
            <w:top w:val="none" w:sz="0" w:space="0" w:color="auto"/>
            <w:left w:val="none" w:sz="0" w:space="0" w:color="auto"/>
            <w:bottom w:val="none" w:sz="0" w:space="0" w:color="auto"/>
            <w:right w:val="none" w:sz="0" w:space="0" w:color="auto"/>
          </w:divBdr>
          <w:divsChild>
            <w:div w:id="1092747874">
              <w:marLeft w:val="0"/>
              <w:marRight w:val="0"/>
              <w:marTop w:val="0"/>
              <w:marBottom w:val="0"/>
              <w:divBdr>
                <w:top w:val="none" w:sz="0" w:space="0" w:color="auto"/>
                <w:left w:val="none" w:sz="0" w:space="0" w:color="auto"/>
                <w:bottom w:val="none" w:sz="0" w:space="0" w:color="auto"/>
                <w:right w:val="none" w:sz="0" w:space="0" w:color="auto"/>
              </w:divBdr>
              <w:divsChild>
                <w:div w:id="17461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766">
      <w:bodyDiv w:val="1"/>
      <w:marLeft w:val="0"/>
      <w:marRight w:val="0"/>
      <w:marTop w:val="0"/>
      <w:marBottom w:val="0"/>
      <w:divBdr>
        <w:top w:val="none" w:sz="0" w:space="0" w:color="auto"/>
        <w:left w:val="none" w:sz="0" w:space="0" w:color="auto"/>
        <w:bottom w:val="none" w:sz="0" w:space="0" w:color="auto"/>
        <w:right w:val="none" w:sz="0" w:space="0" w:color="auto"/>
      </w:divBdr>
      <w:divsChild>
        <w:div w:id="902183774">
          <w:marLeft w:val="0"/>
          <w:marRight w:val="0"/>
          <w:marTop w:val="0"/>
          <w:marBottom w:val="0"/>
          <w:divBdr>
            <w:top w:val="none" w:sz="0" w:space="0" w:color="auto"/>
            <w:left w:val="none" w:sz="0" w:space="0" w:color="auto"/>
            <w:bottom w:val="none" w:sz="0" w:space="0" w:color="auto"/>
            <w:right w:val="none" w:sz="0" w:space="0" w:color="auto"/>
          </w:divBdr>
          <w:divsChild>
            <w:div w:id="1745566712">
              <w:marLeft w:val="0"/>
              <w:marRight w:val="0"/>
              <w:marTop w:val="0"/>
              <w:marBottom w:val="0"/>
              <w:divBdr>
                <w:top w:val="none" w:sz="0" w:space="0" w:color="auto"/>
                <w:left w:val="none" w:sz="0" w:space="0" w:color="auto"/>
                <w:bottom w:val="none" w:sz="0" w:space="0" w:color="auto"/>
                <w:right w:val="none" w:sz="0" w:space="0" w:color="auto"/>
              </w:divBdr>
              <w:divsChild>
                <w:div w:id="2056470085">
                  <w:marLeft w:val="0"/>
                  <w:marRight w:val="0"/>
                  <w:marTop w:val="0"/>
                  <w:marBottom w:val="0"/>
                  <w:divBdr>
                    <w:top w:val="none" w:sz="0" w:space="0" w:color="auto"/>
                    <w:left w:val="none" w:sz="0" w:space="0" w:color="auto"/>
                    <w:bottom w:val="none" w:sz="0" w:space="0" w:color="auto"/>
                    <w:right w:val="none" w:sz="0" w:space="0" w:color="auto"/>
                  </w:divBdr>
                  <w:divsChild>
                    <w:div w:id="346637306">
                      <w:marLeft w:val="0"/>
                      <w:marRight w:val="0"/>
                      <w:marTop w:val="0"/>
                      <w:marBottom w:val="0"/>
                      <w:divBdr>
                        <w:top w:val="none" w:sz="0" w:space="0" w:color="auto"/>
                        <w:left w:val="none" w:sz="0" w:space="0" w:color="auto"/>
                        <w:bottom w:val="none" w:sz="0" w:space="0" w:color="auto"/>
                        <w:right w:val="none" w:sz="0" w:space="0" w:color="auto"/>
                      </w:divBdr>
                      <w:divsChild>
                        <w:div w:id="1981110916">
                          <w:marLeft w:val="0"/>
                          <w:marRight w:val="0"/>
                          <w:marTop w:val="0"/>
                          <w:marBottom w:val="0"/>
                          <w:divBdr>
                            <w:top w:val="none" w:sz="0" w:space="0" w:color="auto"/>
                            <w:left w:val="none" w:sz="0" w:space="0" w:color="auto"/>
                            <w:bottom w:val="none" w:sz="0" w:space="0" w:color="auto"/>
                            <w:right w:val="none" w:sz="0" w:space="0" w:color="auto"/>
                          </w:divBdr>
                          <w:divsChild>
                            <w:div w:id="1849518007">
                              <w:marLeft w:val="0"/>
                              <w:marRight w:val="0"/>
                              <w:marTop w:val="0"/>
                              <w:marBottom w:val="0"/>
                              <w:divBdr>
                                <w:top w:val="none" w:sz="0" w:space="0" w:color="auto"/>
                                <w:left w:val="none" w:sz="0" w:space="0" w:color="auto"/>
                                <w:bottom w:val="none" w:sz="0" w:space="0" w:color="auto"/>
                                <w:right w:val="none" w:sz="0" w:space="0" w:color="auto"/>
                              </w:divBdr>
                              <w:divsChild>
                                <w:div w:id="9145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951089">
      <w:bodyDiv w:val="1"/>
      <w:marLeft w:val="0"/>
      <w:marRight w:val="0"/>
      <w:marTop w:val="0"/>
      <w:marBottom w:val="0"/>
      <w:divBdr>
        <w:top w:val="none" w:sz="0" w:space="0" w:color="auto"/>
        <w:left w:val="none" w:sz="0" w:space="0" w:color="auto"/>
        <w:bottom w:val="none" w:sz="0" w:space="0" w:color="auto"/>
        <w:right w:val="none" w:sz="0" w:space="0" w:color="auto"/>
      </w:divBdr>
      <w:divsChild>
        <w:div w:id="788353918">
          <w:marLeft w:val="0"/>
          <w:marRight w:val="0"/>
          <w:marTop w:val="0"/>
          <w:marBottom w:val="0"/>
          <w:divBdr>
            <w:top w:val="none" w:sz="0" w:space="0" w:color="auto"/>
            <w:left w:val="none" w:sz="0" w:space="0" w:color="auto"/>
            <w:bottom w:val="none" w:sz="0" w:space="0" w:color="auto"/>
            <w:right w:val="none" w:sz="0" w:space="0" w:color="auto"/>
          </w:divBdr>
          <w:divsChild>
            <w:div w:id="2109959884">
              <w:marLeft w:val="0"/>
              <w:marRight w:val="0"/>
              <w:marTop w:val="0"/>
              <w:marBottom w:val="0"/>
              <w:divBdr>
                <w:top w:val="none" w:sz="0" w:space="0" w:color="auto"/>
                <w:left w:val="none" w:sz="0" w:space="0" w:color="auto"/>
                <w:bottom w:val="none" w:sz="0" w:space="0" w:color="auto"/>
                <w:right w:val="none" w:sz="0" w:space="0" w:color="auto"/>
              </w:divBdr>
              <w:divsChild>
                <w:div w:id="1505436928">
                  <w:marLeft w:val="0"/>
                  <w:marRight w:val="0"/>
                  <w:marTop w:val="0"/>
                  <w:marBottom w:val="0"/>
                  <w:divBdr>
                    <w:top w:val="none" w:sz="0" w:space="0" w:color="auto"/>
                    <w:left w:val="none" w:sz="0" w:space="0" w:color="auto"/>
                    <w:bottom w:val="none" w:sz="0" w:space="0" w:color="auto"/>
                    <w:right w:val="none" w:sz="0" w:space="0" w:color="auto"/>
                  </w:divBdr>
                  <w:divsChild>
                    <w:div w:id="557016811">
                      <w:marLeft w:val="0"/>
                      <w:marRight w:val="0"/>
                      <w:marTop w:val="0"/>
                      <w:marBottom w:val="0"/>
                      <w:divBdr>
                        <w:top w:val="none" w:sz="0" w:space="0" w:color="auto"/>
                        <w:left w:val="none" w:sz="0" w:space="0" w:color="auto"/>
                        <w:bottom w:val="none" w:sz="0" w:space="0" w:color="auto"/>
                        <w:right w:val="none" w:sz="0" w:space="0" w:color="auto"/>
                      </w:divBdr>
                      <w:divsChild>
                        <w:div w:id="19465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2131">
      <w:bodyDiv w:val="1"/>
      <w:marLeft w:val="0"/>
      <w:marRight w:val="0"/>
      <w:marTop w:val="0"/>
      <w:marBottom w:val="0"/>
      <w:divBdr>
        <w:top w:val="none" w:sz="0" w:space="0" w:color="auto"/>
        <w:left w:val="none" w:sz="0" w:space="0" w:color="auto"/>
        <w:bottom w:val="none" w:sz="0" w:space="0" w:color="auto"/>
        <w:right w:val="none" w:sz="0" w:space="0" w:color="auto"/>
      </w:divBdr>
      <w:divsChild>
        <w:div w:id="1657756343">
          <w:marLeft w:val="0"/>
          <w:marRight w:val="0"/>
          <w:marTop w:val="0"/>
          <w:marBottom w:val="0"/>
          <w:divBdr>
            <w:top w:val="none" w:sz="0" w:space="0" w:color="auto"/>
            <w:left w:val="none" w:sz="0" w:space="0" w:color="auto"/>
            <w:bottom w:val="none" w:sz="0" w:space="0" w:color="auto"/>
            <w:right w:val="none" w:sz="0" w:space="0" w:color="auto"/>
          </w:divBdr>
          <w:divsChild>
            <w:div w:id="29457950">
              <w:marLeft w:val="0"/>
              <w:marRight w:val="0"/>
              <w:marTop w:val="0"/>
              <w:marBottom w:val="0"/>
              <w:divBdr>
                <w:top w:val="none" w:sz="0" w:space="0" w:color="auto"/>
                <w:left w:val="none" w:sz="0" w:space="0" w:color="auto"/>
                <w:bottom w:val="none" w:sz="0" w:space="0" w:color="auto"/>
                <w:right w:val="none" w:sz="0" w:space="0" w:color="auto"/>
              </w:divBdr>
              <w:divsChild>
                <w:div w:id="609244156">
                  <w:marLeft w:val="0"/>
                  <w:marRight w:val="0"/>
                  <w:marTop w:val="0"/>
                  <w:marBottom w:val="0"/>
                  <w:divBdr>
                    <w:top w:val="none" w:sz="0" w:space="0" w:color="auto"/>
                    <w:left w:val="none" w:sz="0" w:space="0" w:color="auto"/>
                    <w:bottom w:val="none" w:sz="0" w:space="0" w:color="auto"/>
                    <w:right w:val="none" w:sz="0" w:space="0" w:color="auto"/>
                  </w:divBdr>
                  <w:divsChild>
                    <w:div w:id="669333802">
                      <w:marLeft w:val="0"/>
                      <w:marRight w:val="0"/>
                      <w:marTop w:val="0"/>
                      <w:marBottom w:val="0"/>
                      <w:divBdr>
                        <w:top w:val="none" w:sz="0" w:space="0" w:color="auto"/>
                        <w:left w:val="none" w:sz="0" w:space="0" w:color="auto"/>
                        <w:bottom w:val="none" w:sz="0" w:space="0" w:color="auto"/>
                        <w:right w:val="none" w:sz="0" w:space="0" w:color="auto"/>
                      </w:divBdr>
                      <w:divsChild>
                        <w:div w:id="17152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22878">
      <w:bodyDiv w:val="1"/>
      <w:marLeft w:val="0"/>
      <w:marRight w:val="0"/>
      <w:marTop w:val="0"/>
      <w:marBottom w:val="0"/>
      <w:divBdr>
        <w:top w:val="none" w:sz="0" w:space="0" w:color="auto"/>
        <w:left w:val="none" w:sz="0" w:space="0" w:color="auto"/>
        <w:bottom w:val="none" w:sz="0" w:space="0" w:color="auto"/>
        <w:right w:val="none" w:sz="0" w:space="0" w:color="auto"/>
      </w:divBdr>
    </w:div>
    <w:div w:id="1018237522">
      <w:bodyDiv w:val="1"/>
      <w:marLeft w:val="0"/>
      <w:marRight w:val="0"/>
      <w:marTop w:val="0"/>
      <w:marBottom w:val="0"/>
      <w:divBdr>
        <w:top w:val="none" w:sz="0" w:space="0" w:color="auto"/>
        <w:left w:val="none" w:sz="0" w:space="0" w:color="auto"/>
        <w:bottom w:val="none" w:sz="0" w:space="0" w:color="auto"/>
        <w:right w:val="none" w:sz="0" w:space="0" w:color="auto"/>
      </w:divBdr>
      <w:divsChild>
        <w:div w:id="1911455147">
          <w:marLeft w:val="0"/>
          <w:marRight w:val="0"/>
          <w:marTop w:val="0"/>
          <w:marBottom w:val="0"/>
          <w:divBdr>
            <w:top w:val="none" w:sz="0" w:space="0" w:color="auto"/>
            <w:left w:val="none" w:sz="0" w:space="0" w:color="auto"/>
            <w:bottom w:val="none" w:sz="0" w:space="0" w:color="auto"/>
            <w:right w:val="none" w:sz="0" w:space="0" w:color="auto"/>
          </w:divBdr>
          <w:divsChild>
            <w:div w:id="112529519">
              <w:marLeft w:val="0"/>
              <w:marRight w:val="0"/>
              <w:marTop w:val="0"/>
              <w:marBottom w:val="0"/>
              <w:divBdr>
                <w:top w:val="none" w:sz="0" w:space="0" w:color="auto"/>
                <w:left w:val="none" w:sz="0" w:space="0" w:color="auto"/>
                <w:bottom w:val="none" w:sz="0" w:space="0" w:color="auto"/>
                <w:right w:val="none" w:sz="0" w:space="0" w:color="auto"/>
              </w:divBdr>
              <w:divsChild>
                <w:div w:id="1153059572">
                  <w:marLeft w:val="0"/>
                  <w:marRight w:val="0"/>
                  <w:marTop w:val="0"/>
                  <w:marBottom w:val="0"/>
                  <w:divBdr>
                    <w:top w:val="none" w:sz="0" w:space="0" w:color="auto"/>
                    <w:left w:val="none" w:sz="0" w:space="0" w:color="auto"/>
                    <w:bottom w:val="none" w:sz="0" w:space="0" w:color="auto"/>
                    <w:right w:val="none" w:sz="0" w:space="0" w:color="auto"/>
                  </w:divBdr>
                  <w:divsChild>
                    <w:div w:id="2003661203">
                      <w:marLeft w:val="0"/>
                      <w:marRight w:val="0"/>
                      <w:marTop w:val="0"/>
                      <w:marBottom w:val="0"/>
                      <w:divBdr>
                        <w:top w:val="none" w:sz="0" w:space="0" w:color="auto"/>
                        <w:left w:val="none" w:sz="0" w:space="0" w:color="auto"/>
                        <w:bottom w:val="none" w:sz="0" w:space="0" w:color="auto"/>
                        <w:right w:val="none" w:sz="0" w:space="0" w:color="auto"/>
                      </w:divBdr>
                      <w:divsChild>
                        <w:div w:id="5597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739749">
      <w:bodyDiv w:val="1"/>
      <w:marLeft w:val="0"/>
      <w:marRight w:val="0"/>
      <w:marTop w:val="0"/>
      <w:marBottom w:val="0"/>
      <w:divBdr>
        <w:top w:val="none" w:sz="0" w:space="0" w:color="auto"/>
        <w:left w:val="none" w:sz="0" w:space="0" w:color="auto"/>
        <w:bottom w:val="none" w:sz="0" w:space="0" w:color="auto"/>
        <w:right w:val="none" w:sz="0" w:space="0" w:color="auto"/>
      </w:divBdr>
      <w:divsChild>
        <w:div w:id="761923953">
          <w:marLeft w:val="0"/>
          <w:marRight w:val="0"/>
          <w:marTop w:val="0"/>
          <w:marBottom w:val="0"/>
          <w:divBdr>
            <w:top w:val="none" w:sz="0" w:space="0" w:color="auto"/>
            <w:left w:val="none" w:sz="0" w:space="0" w:color="auto"/>
            <w:bottom w:val="none" w:sz="0" w:space="0" w:color="auto"/>
            <w:right w:val="none" w:sz="0" w:space="0" w:color="auto"/>
          </w:divBdr>
          <w:divsChild>
            <w:div w:id="1332026374">
              <w:marLeft w:val="0"/>
              <w:marRight w:val="0"/>
              <w:marTop w:val="0"/>
              <w:marBottom w:val="0"/>
              <w:divBdr>
                <w:top w:val="none" w:sz="0" w:space="0" w:color="auto"/>
                <w:left w:val="none" w:sz="0" w:space="0" w:color="auto"/>
                <w:bottom w:val="none" w:sz="0" w:space="0" w:color="auto"/>
                <w:right w:val="none" w:sz="0" w:space="0" w:color="auto"/>
              </w:divBdr>
              <w:divsChild>
                <w:div w:id="1368991559">
                  <w:marLeft w:val="0"/>
                  <w:marRight w:val="0"/>
                  <w:marTop w:val="0"/>
                  <w:marBottom w:val="0"/>
                  <w:divBdr>
                    <w:top w:val="none" w:sz="0" w:space="0" w:color="auto"/>
                    <w:left w:val="none" w:sz="0" w:space="0" w:color="auto"/>
                    <w:bottom w:val="none" w:sz="0" w:space="0" w:color="auto"/>
                    <w:right w:val="none" w:sz="0" w:space="0" w:color="auto"/>
                  </w:divBdr>
                  <w:divsChild>
                    <w:div w:id="35857089">
                      <w:marLeft w:val="0"/>
                      <w:marRight w:val="0"/>
                      <w:marTop w:val="0"/>
                      <w:marBottom w:val="0"/>
                      <w:divBdr>
                        <w:top w:val="none" w:sz="0" w:space="0" w:color="auto"/>
                        <w:left w:val="none" w:sz="0" w:space="0" w:color="auto"/>
                        <w:bottom w:val="none" w:sz="0" w:space="0" w:color="auto"/>
                        <w:right w:val="none" w:sz="0" w:space="0" w:color="auto"/>
                      </w:divBdr>
                      <w:divsChild>
                        <w:div w:id="12905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82195">
      <w:bodyDiv w:val="1"/>
      <w:marLeft w:val="0"/>
      <w:marRight w:val="0"/>
      <w:marTop w:val="0"/>
      <w:marBottom w:val="0"/>
      <w:divBdr>
        <w:top w:val="none" w:sz="0" w:space="0" w:color="auto"/>
        <w:left w:val="none" w:sz="0" w:space="0" w:color="auto"/>
        <w:bottom w:val="none" w:sz="0" w:space="0" w:color="auto"/>
        <w:right w:val="none" w:sz="0" w:space="0" w:color="auto"/>
      </w:divBdr>
      <w:divsChild>
        <w:div w:id="1012025554">
          <w:marLeft w:val="0"/>
          <w:marRight w:val="0"/>
          <w:marTop w:val="0"/>
          <w:marBottom w:val="0"/>
          <w:divBdr>
            <w:top w:val="none" w:sz="0" w:space="0" w:color="auto"/>
            <w:left w:val="none" w:sz="0" w:space="0" w:color="auto"/>
            <w:bottom w:val="none" w:sz="0" w:space="0" w:color="auto"/>
            <w:right w:val="none" w:sz="0" w:space="0" w:color="auto"/>
          </w:divBdr>
          <w:divsChild>
            <w:div w:id="1096515184">
              <w:marLeft w:val="0"/>
              <w:marRight w:val="0"/>
              <w:marTop w:val="0"/>
              <w:marBottom w:val="0"/>
              <w:divBdr>
                <w:top w:val="none" w:sz="0" w:space="0" w:color="auto"/>
                <w:left w:val="none" w:sz="0" w:space="0" w:color="auto"/>
                <w:bottom w:val="none" w:sz="0" w:space="0" w:color="auto"/>
                <w:right w:val="none" w:sz="0" w:space="0" w:color="auto"/>
              </w:divBdr>
              <w:divsChild>
                <w:div w:id="1352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513">
      <w:bodyDiv w:val="1"/>
      <w:marLeft w:val="0"/>
      <w:marRight w:val="0"/>
      <w:marTop w:val="0"/>
      <w:marBottom w:val="0"/>
      <w:divBdr>
        <w:top w:val="none" w:sz="0" w:space="0" w:color="auto"/>
        <w:left w:val="none" w:sz="0" w:space="0" w:color="auto"/>
        <w:bottom w:val="none" w:sz="0" w:space="0" w:color="auto"/>
        <w:right w:val="none" w:sz="0" w:space="0" w:color="auto"/>
      </w:divBdr>
      <w:divsChild>
        <w:div w:id="1588996181">
          <w:marLeft w:val="0"/>
          <w:marRight w:val="0"/>
          <w:marTop w:val="0"/>
          <w:marBottom w:val="0"/>
          <w:divBdr>
            <w:top w:val="none" w:sz="0" w:space="0" w:color="auto"/>
            <w:left w:val="none" w:sz="0" w:space="0" w:color="auto"/>
            <w:bottom w:val="none" w:sz="0" w:space="0" w:color="auto"/>
            <w:right w:val="none" w:sz="0" w:space="0" w:color="auto"/>
          </w:divBdr>
          <w:divsChild>
            <w:div w:id="6936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6474">
      <w:bodyDiv w:val="1"/>
      <w:marLeft w:val="0"/>
      <w:marRight w:val="0"/>
      <w:marTop w:val="0"/>
      <w:marBottom w:val="0"/>
      <w:divBdr>
        <w:top w:val="none" w:sz="0" w:space="0" w:color="auto"/>
        <w:left w:val="none" w:sz="0" w:space="0" w:color="auto"/>
        <w:bottom w:val="none" w:sz="0" w:space="0" w:color="auto"/>
        <w:right w:val="none" w:sz="0" w:space="0" w:color="auto"/>
      </w:divBdr>
      <w:divsChild>
        <w:div w:id="1581593896">
          <w:marLeft w:val="0"/>
          <w:marRight w:val="0"/>
          <w:marTop w:val="0"/>
          <w:marBottom w:val="0"/>
          <w:divBdr>
            <w:top w:val="none" w:sz="0" w:space="0" w:color="auto"/>
            <w:left w:val="none" w:sz="0" w:space="0" w:color="auto"/>
            <w:bottom w:val="none" w:sz="0" w:space="0" w:color="auto"/>
            <w:right w:val="none" w:sz="0" w:space="0" w:color="auto"/>
          </w:divBdr>
          <w:divsChild>
            <w:div w:id="1510096082">
              <w:marLeft w:val="0"/>
              <w:marRight w:val="0"/>
              <w:marTop w:val="0"/>
              <w:marBottom w:val="0"/>
              <w:divBdr>
                <w:top w:val="none" w:sz="0" w:space="0" w:color="auto"/>
                <w:left w:val="none" w:sz="0" w:space="0" w:color="auto"/>
                <w:bottom w:val="none" w:sz="0" w:space="0" w:color="auto"/>
                <w:right w:val="none" w:sz="0" w:space="0" w:color="auto"/>
              </w:divBdr>
              <w:divsChild>
                <w:div w:id="734819115">
                  <w:marLeft w:val="0"/>
                  <w:marRight w:val="0"/>
                  <w:marTop w:val="0"/>
                  <w:marBottom w:val="0"/>
                  <w:divBdr>
                    <w:top w:val="none" w:sz="0" w:space="0" w:color="auto"/>
                    <w:left w:val="none" w:sz="0" w:space="0" w:color="auto"/>
                    <w:bottom w:val="none" w:sz="0" w:space="0" w:color="auto"/>
                    <w:right w:val="none" w:sz="0" w:space="0" w:color="auto"/>
                  </w:divBdr>
                  <w:divsChild>
                    <w:div w:id="889730179">
                      <w:marLeft w:val="0"/>
                      <w:marRight w:val="0"/>
                      <w:marTop w:val="0"/>
                      <w:marBottom w:val="0"/>
                      <w:divBdr>
                        <w:top w:val="none" w:sz="0" w:space="0" w:color="auto"/>
                        <w:left w:val="none" w:sz="0" w:space="0" w:color="auto"/>
                        <w:bottom w:val="none" w:sz="0" w:space="0" w:color="auto"/>
                        <w:right w:val="none" w:sz="0" w:space="0" w:color="auto"/>
                      </w:divBdr>
                      <w:divsChild>
                        <w:div w:id="7367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77341">
      <w:bodyDiv w:val="1"/>
      <w:marLeft w:val="0"/>
      <w:marRight w:val="0"/>
      <w:marTop w:val="0"/>
      <w:marBottom w:val="0"/>
      <w:divBdr>
        <w:top w:val="none" w:sz="0" w:space="0" w:color="auto"/>
        <w:left w:val="none" w:sz="0" w:space="0" w:color="auto"/>
        <w:bottom w:val="none" w:sz="0" w:space="0" w:color="auto"/>
        <w:right w:val="none" w:sz="0" w:space="0" w:color="auto"/>
      </w:divBdr>
      <w:divsChild>
        <w:div w:id="160127715">
          <w:marLeft w:val="0"/>
          <w:marRight w:val="0"/>
          <w:marTop w:val="0"/>
          <w:marBottom w:val="0"/>
          <w:divBdr>
            <w:top w:val="none" w:sz="0" w:space="0" w:color="auto"/>
            <w:left w:val="none" w:sz="0" w:space="0" w:color="auto"/>
            <w:bottom w:val="none" w:sz="0" w:space="0" w:color="auto"/>
            <w:right w:val="none" w:sz="0" w:space="0" w:color="auto"/>
          </w:divBdr>
          <w:divsChild>
            <w:div w:id="519592243">
              <w:marLeft w:val="0"/>
              <w:marRight w:val="0"/>
              <w:marTop w:val="0"/>
              <w:marBottom w:val="0"/>
              <w:divBdr>
                <w:top w:val="none" w:sz="0" w:space="0" w:color="auto"/>
                <w:left w:val="none" w:sz="0" w:space="0" w:color="auto"/>
                <w:bottom w:val="none" w:sz="0" w:space="0" w:color="auto"/>
                <w:right w:val="none" w:sz="0" w:space="0" w:color="auto"/>
              </w:divBdr>
              <w:divsChild>
                <w:div w:id="20049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8454">
      <w:bodyDiv w:val="1"/>
      <w:marLeft w:val="0"/>
      <w:marRight w:val="0"/>
      <w:marTop w:val="0"/>
      <w:marBottom w:val="0"/>
      <w:divBdr>
        <w:top w:val="none" w:sz="0" w:space="0" w:color="auto"/>
        <w:left w:val="none" w:sz="0" w:space="0" w:color="auto"/>
        <w:bottom w:val="none" w:sz="0" w:space="0" w:color="auto"/>
        <w:right w:val="none" w:sz="0" w:space="0" w:color="auto"/>
      </w:divBdr>
      <w:divsChild>
        <w:div w:id="6761297">
          <w:marLeft w:val="0"/>
          <w:marRight w:val="0"/>
          <w:marTop w:val="0"/>
          <w:marBottom w:val="0"/>
          <w:divBdr>
            <w:top w:val="none" w:sz="0" w:space="0" w:color="auto"/>
            <w:left w:val="none" w:sz="0" w:space="0" w:color="auto"/>
            <w:bottom w:val="none" w:sz="0" w:space="0" w:color="auto"/>
            <w:right w:val="none" w:sz="0" w:space="0" w:color="auto"/>
          </w:divBdr>
          <w:divsChild>
            <w:div w:id="600769456">
              <w:marLeft w:val="0"/>
              <w:marRight w:val="0"/>
              <w:marTop w:val="0"/>
              <w:marBottom w:val="0"/>
              <w:divBdr>
                <w:top w:val="none" w:sz="0" w:space="0" w:color="auto"/>
                <w:left w:val="none" w:sz="0" w:space="0" w:color="auto"/>
                <w:bottom w:val="none" w:sz="0" w:space="0" w:color="auto"/>
                <w:right w:val="none" w:sz="0" w:space="0" w:color="auto"/>
              </w:divBdr>
              <w:divsChild>
                <w:div w:id="220679828">
                  <w:marLeft w:val="0"/>
                  <w:marRight w:val="0"/>
                  <w:marTop w:val="0"/>
                  <w:marBottom w:val="0"/>
                  <w:divBdr>
                    <w:top w:val="none" w:sz="0" w:space="0" w:color="auto"/>
                    <w:left w:val="none" w:sz="0" w:space="0" w:color="auto"/>
                    <w:bottom w:val="none" w:sz="0" w:space="0" w:color="auto"/>
                    <w:right w:val="none" w:sz="0" w:space="0" w:color="auto"/>
                  </w:divBdr>
                  <w:divsChild>
                    <w:div w:id="654257889">
                      <w:marLeft w:val="0"/>
                      <w:marRight w:val="0"/>
                      <w:marTop w:val="0"/>
                      <w:marBottom w:val="0"/>
                      <w:divBdr>
                        <w:top w:val="none" w:sz="0" w:space="0" w:color="auto"/>
                        <w:left w:val="none" w:sz="0" w:space="0" w:color="auto"/>
                        <w:bottom w:val="none" w:sz="0" w:space="0" w:color="auto"/>
                        <w:right w:val="none" w:sz="0" w:space="0" w:color="auto"/>
                      </w:divBdr>
                      <w:divsChild>
                        <w:div w:id="1816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daq.com/symbol/prxl" TargetMode="External"/><Relationship Id="rId13" Type="http://schemas.openxmlformats.org/officeDocument/2006/relationships/hyperlink" Target="http://en.wikipedia.org/wiki/United_States_of_Americ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NASDAQ" TargetMode="External"/><Relationship Id="rId12" Type="http://schemas.openxmlformats.org/officeDocument/2006/relationships/hyperlink" Target="http://en.wikipedia.org/wiki/Massachuset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arexel.com/" TargetMode="External"/><Relationship Id="rId1" Type="http://schemas.openxmlformats.org/officeDocument/2006/relationships/numbering" Target="numbering.xml"/><Relationship Id="rId6" Type="http://schemas.openxmlformats.org/officeDocument/2006/relationships/hyperlink" Target="http://en.wikipedia.org/wiki/Ticker_symbol" TargetMode="External"/><Relationship Id="rId11" Type="http://schemas.openxmlformats.org/officeDocument/2006/relationships/hyperlink" Target="http://en.wikipedia.org/wiki/Waltham,_Massachusetts" TargetMode="External"/><Relationship Id="rId5" Type="http://schemas.openxmlformats.org/officeDocument/2006/relationships/webSettings" Target="webSettings.xml"/><Relationship Id="rId15" Type="http://schemas.openxmlformats.org/officeDocument/2006/relationships/hyperlink" Target="http://www.parexel.com/" TargetMode="External"/><Relationship Id="rId10" Type="http://schemas.openxmlformats.org/officeDocument/2006/relationships/hyperlink" Target="http://en.wikipedia.org/wiki/Pharmaceutical" TargetMode="External"/><Relationship Id="rId4" Type="http://schemas.openxmlformats.org/officeDocument/2006/relationships/settings" Target="settings.xml"/><Relationship Id="rId9" Type="http://schemas.openxmlformats.org/officeDocument/2006/relationships/hyperlink" Target="http://en.wikipedia.org/wiki/Clinical_research_organiz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PAREXEL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Manoj</dc:creator>
  <cp:keywords/>
  <dc:description/>
  <cp:lastModifiedBy>Kulkarni, Manoj</cp:lastModifiedBy>
  <cp:revision>7</cp:revision>
  <dcterms:created xsi:type="dcterms:W3CDTF">2014-11-11T09:30:00Z</dcterms:created>
  <dcterms:modified xsi:type="dcterms:W3CDTF">2014-11-13T10:16:00Z</dcterms:modified>
</cp:coreProperties>
</file>