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B42A88">
      <w:pPr>
        <w:pStyle w:val="36"/>
      </w:pPr>
      <w:r>
        <w:t>AI-Based Construction Progress Monitoring</w:t>
      </w:r>
    </w:p>
    <w:p w14:paraId="1C500FD6">
      <w:r>
        <w:rPr>
          <w:color w:val="444444"/>
          <w:sz w:val="28"/>
        </w:rPr>
        <w:t>Technical Summary for Management</w:t>
      </w:r>
    </w:p>
    <w:p w14:paraId="55F89425">
      <w:r>
        <w:rPr>
          <w:i/>
          <w:color w:val="888888"/>
          <w:sz w:val="20"/>
        </w:rPr>
        <w:t>Prepared: 11 August 2026</w:t>
      </w:r>
    </w:p>
    <w:p w14:paraId="67910D31"/>
    <w:p w14:paraId="57BA083D">
      <w:pPr>
        <w:pStyle w:val="2"/>
      </w:pPr>
      <w:r>
        <w:t>1. AI Module Overview</w:t>
      </w:r>
    </w:p>
    <w:p w14:paraId="7CD2E81D">
      <w:pPr>
        <w:pStyle w:val="3"/>
      </w:pPr>
      <w:r>
        <w:t>Provider &amp; Model</w:t>
      </w:r>
    </w:p>
    <w:p w14:paraId="4EDBB8CD">
      <w:r>
        <w:rPr>
          <w:b w:val="0"/>
        </w:rPr>
        <w:t xml:space="preserve">The system uses a single AI provider: </w:t>
      </w:r>
      <w:r>
        <w:rPr>
          <w:b/>
        </w:rPr>
        <w:t>Azure AI Foundry</w:t>
      </w:r>
      <w:r>
        <w:t>, calling one hosted GPT vision model.</w:t>
      </w:r>
    </w:p>
    <w:p w14:paraId="6A0957FA">
      <w:pPr>
        <w:pStyle w:val="23"/>
      </w:pPr>
      <w:r>
        <w:rPr>
          <w:b/>
        </w:rPr>
        <w:t xml:space="preserve">Deployment name: </w:t>
      </w:r>
      <w:r>
        <w:t>gpt-5.2-hci-bbs (a custom-named deployment on Azure’s OpenAI-compatible API)</w:t>
      </w:r>
    </w:p>
    <w:p w14:paraId="5D728A6C">
      <w:pPr>
        <w:pStyle w:val="23"/>
      </w:pPr>
      <w:r>
        <w:rPr>
          <w:b/>
        </w:rPr>
        <w:t xml:space="preserve">Endpoint: </w:t>
      </w:r>
      <w:r>
        <w:t>Private Azure AI Foundry project endpoint (hci-bbs-aifoundry)</w:t>
      </w:r>
    </w:p>
    <w:p w14:paraId="1400F8CC">
      <w:pPr>
        <w:pStyle w:val="23"/>
      </w:pPr>
      <w:r>
        <w:rPr>
          <w:b/>
        </w:rPr>
        <w:t xml:space="preserve">Local/custom models: </w:t>
      </w:r>
      <w:r>
        <w:t>None. No YOLO, no custom PyTorch/TensorFlow model. All "intelligence" comes from this one vision-capable model.</w:t>
      </w:r>
    </w:p>
    <w:p w14:paraId="47ED6378">
      <w:pPr>
        <w:pStyle w:val="3"/>
      </w:pPr>
      <w:r>
        <w:t>Supporting (Non-AI) Technology</w:t>
      </w:r>
    </w:p>
    <w:p w14:paraId="623C04AD">
      <w:pPr>
        <w:pStyle w:val="23"/>
      </w:pPr>
      <w:r>
        <w:rPr>
          <w:b/>
        </w:rPr>
        <w:t>OpenCV 4.12</w:t>
      </w:r>
      <w:r>
        <w:t xml:space="preserve"> — classical computer vision: image alignment, feature matching, background inpainting</w:t>
      </w:r>
    </w:p>
    <w:p w14:paraId="35266EAB">
      <w:pPr>
        <w:pStyle w:val="23"/>
      </w:pPr>
      <w:r>
        <w:rPr>
          <w:b/>
        </w:rPr>
        <w:t>FastAPI</w:t>
      </w:r>
      <w:r>
        <w:t xml:space="preserve"> — the production web service exposing the analysis API</w:t>
      </w:r>
    </w:p>
    <w:p w14:paraId="5BF5D79B">
      <w:pPr>
        <w:pStyle w:val="23"/>
      </w:pPr>
      <w:r>
        <w:rPr>
          <w:b/>
        </w:rPr>
        <w:t>httpx</w:t>
      </w:r>
      <w:r>
        <w:t xml:space="preserve"> — handles calls to the Azure AI endpoint</w:t>
      </w:r>
    </w:p>
    <w:p w14:paraId="72993957">
      <w:pPr>
        <w:pStyle w:val="3"/>
      </w:pPr>
      <w:r>
        <w:t>AI Sub-modules</w:t>
      </w:r>
    </w:p>
    <w:p w14:paraId="70D3F091">
      <w:r>
        <w:t>Four distinct uses of the same underlying model, each with its own dedicated prompt:</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7C3035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shd w:val="clear" w:color="auto" w:fill="2E5395"/>
          </w:tcPr>
          <w:p w14:paraId="7E87A292">
            <w:pPr>
              <w:spacing w:after="0" w:line="240" w:lineRule="auto"/>
            </w:pPr>
            <w:r>
              <w:rPr>
                <w:b/>
                <w:color w:val="FFFFFF"/>
              </w:rPr>
              <w:t>Sub-module</w:t>
            </w:r>
          </w:p>
        </w:tc>
        <w:tc>
          <w:tcPr>
            <w:tcW w:w="4320" w:type="dxa"/>
            <w:shd w:val="clear" w:color="auto" w:fill="2E5395"/>
          </w:tcPr>
          <w:p w14:paraId="482E06E4">
            <w:pPr>
              <w:spacing w:after="0" w:line="240" w:lineRule="auto"/>
            </w:pPr>
            <w:r>
              <w:rPr>
                <w:b/>
                <w:color w:val="FFFFFF"/>
              </w:rPr>
              <w:t>Purpose</w:t>
            </w:r>
          </w:p>
        </w:tc>
      </w:tr>
      <w:tr w14:paraId="2A1475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1BC42F3">
            <w:pPr>
              <w:spacing w:after="0" w:line="240" w:lineRule="auto"/>
            </w:pPr>
            <w:r>
              <w:rPr>
                <w:b/>
              </w:rPr>
              <w:t>Object Detector</w:t>
            </w:r>
          </w:p>
        </w:tc>
        <w:tc>
          <w:tcPr>
            <w:tcW w:w="4320" w:type="dxa"/>
          </w:tcPr>
          <w:p w14:paraId="50757417">
            <w:pPr>
              <w:spacing w:after="0" w:line="240" w:lineRule="auto"/>
            </w:pPr>
            <w:r>
              <w:t>Finds workers, cranes, trucks, forklifts in the frame so they can be masked out (progress should reflect structure, not people/vehicles)</w:t>
            </w:r>
          </w:p>
        </w:tc>
      </w:tr>
      <w:tr w14:paraId="035344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150D1852">
            <w:pPr>
              <w:spacing w:after="0" w:line="240" w:lineRule="auto"/>
            </w:pPr>
            <w:r>
              <w:rPr>
                <w:b/>
              </w:rPr>
              <w:t>Zone Feature Extractor</w:t>
            </w:r>
          </w:p>
        </w:tc>
        <w:tc>
          <w:tcPr>
            <w:tcW w:w="4320" w:type="dxa"/>
          </w:tcPr>
          <w:p w14:paraId="5A94A5A9">
            <w:pPr>
              <w:spacing w:after="0" w:line="240" w:lineRule="auto"/>
            </w:pPr>
            <w:r>
              <w:t>Classifies each site zone’s construction stage and lists visible elements (rebar, formwork, concrete, etc.)</w:t>
            </w:r>
          </w:p>
        </w:tc>
      </w:tr>
      <w:tr w14:paraId="43BB3D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40F05FE">
            <w:pPr>
              <w:spacing w:after="0" w:line="240" w:lineRule="auto"/>
            </w:pPr>
            <w:r>
              <w:rPr>
                <w:b/>
              </w:rPr>
              <w:t>Zone Change Analyzer</w:t>
            </w:r>
          </w:p>
        </w:tc>
        <w:tc>
          <w:tcPr>
            <w:tcW w:w="4320" w:type="dxa"/>
          </w:tcPr>
          <w:p w14:paraId="43AD79B0">
            <w:pPr>
              <w:spacing w:after="0" w:line="240" w:lineRule="auto"/>
            </w:pPr>
            <w:r>
              <w:t>Compares old vs. new photos of a zone and scores how much structural change occurred</w:t>
            </w:r>
          </w:p>
        </w:tc>
      </w:tr>
      <w:tr w14:paraId="2DF08B3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D0620F6">
            <w:pPr>
              <w:spacing w:after="0" w:line="240" w:lineRule="auto"/>
            </w:pPr>
            <w:r>
              <w:rPr>
                <w:b/>
              </w:rPr>
              <w:t>Progress Scorer</w:t>
            </w:r>
          </w:p>
        </w:tc>
        <w:tc>
          <w:tcPr>
            <w:tcW w:w="4320" w:type="dxa"/>
          </w:tcPr>
          <w:p w14:paraId="5F041D00">
            <w:pPr>
              <w:spacing w:after="0" w:line="240" w:lineRule="auto"/>
            </w:pPr>
            <w:r>
              <w:t>Produces the final 0–100% completion score, stage label, confidence, and a plain-language summary</w:t>
            </w:r>
          </w:p>
        </w:tc>
      </w:tr>
    </w:tbl>
    <w:p w14:paraId="62C367C9"/>
    <w:p w14:paraId="610518A5">
      <w:pPr>
        <w:pStyle w:val="2"/>
      </w:pPr>
      <w:r>
        <w:t>2. How Image Progress Is Determined</w:t>
      </w:r>
    </w:p>
    <w:p w14:paraId="2F4D3AD5">
      <w:r>
        <w:t>Step-by-step pipeline:</w:t>
      </w:r>
    </w:p>
    <w:p w14:paraId="021EF446">
      <w:r>
        <w:rPr>
          <w:b/>
        </w:rPr>
        <w:t xml:space="preserve">1. Input — </w:t>
      </w:r>
      <w:r>
        <w:t>A current site photo plus reference photos (either historical snapshots or labelled "milestone" photos, e.g. "60% complete").</w:t>
      </w:r>
    </w:p>
    <w:p w14:paraId="7859C1DE">
      <w:r>
        <w:rPr>
          <w:b/>
        </w:rPr>
        <w:t xml:space="preserve">2. Camera Alignment — </w:t>
      </w:r>
      <w:r>
        <w:t>Since photos are taken from slightly different angles/times, the system automatically detects matching visual features between old and new photos and mathematically warps them into alignment (classical computer vision, not AI).</w:t>
      </w:r>
    </w:p>
    <w:p w14:paraId="316018B7">
      <w:r>
        <w:rPr>
          <w:b/>
        </w:rPr>
        <w:t xml:space="preserve">3. Remove Distractions — </w:t>
      </w:r>
      <w:r>
        <w:t>The AI model identifies people, vehicles, and equipment in the frame; those areas are digitally "filled in" using the surrounding background so they don’t skew the comparison.</w:t>
      </w:r>
    </w:p>
    <w:p w14:paraId="3EE40A76">
      <w:r>
        <w:rPr>
          <w:b/>
        </w:rPr>
        <w:t xml:space="preserve">4. Zone-by-Zone Analysis — </w:t>
      </w:r>
      <w:r>
        <w:t>The site photo is divided into predefined zones (e.g., specific structural areas); each zone is analyzed independently.</w:t>
      </w:r>
    </w:p>
    <w:p w14:paraId="5C5D0894">
      <w:r>
        <w:rPr>
          <w:b/>
        </w:rPr>
        <w:t xml:space="preserve">5. Similarity Scoring — </w:t>
      </w:r>
      <w:r>
        <w:t>The current zone photo is compared against a set of reference photos using a blend of color/texture similarity, feature-point matching, and pixel-level difference.</w:t>
      </w:r>
    </w:p>
    <w:p w14:paraId="3255571C">
      <w:r>
        <w:rPr>
          <w:b/>
        </w:rPr>
        <w:t xml:space="preserve">6. AI Judgment — </w:t>
      </w:r>
      <w:r>
        <w:t>The AI vision model looks at the current photo alongside the most similar reference photos and estimates a completion percentage, guided by a fixed construction-milestone rubric (e.g., 0% site cleared → 30% rebar started → 75% concrete poured → 100% complete).</w:t>
      </w:r>
    </w:p>
    <w:p w14:paraId="71AF743A">
      <w:r>
        <w:rPr>
          <w:b/>
        </w:rPr>
        <w:t xml:space="preserve">7. Reliability &amp; Accuracy Safeguards — </w:t>
      </w:r>
      <w:r>
        <w:t>Built into the code, not just trusted to the AI — see below.</w:t>
      </w:r>
    </w:p>
    <w:p w14:paraId="3EA61E09">
      <w:r>
        <w:rPr>
          <w:b/>
        </w:rPr>
        <w:t xml:space="preserve">8. Output — </w:t>
      </w:r>
      <w:r>
        <w:t>A percentage complete, a confidence level, a stage label, an annotated image (color-coded zones), and a plain-language progress summary; results are saved for use as the next comparison baseline.</w:t>
      </w:r>
    </w:p>
    <w:p w14:paraId="25512F44">
      <w:pPr>
        <w:pStyle w:val="3"/>
      </w:pPr>
      <w:r>
        <w:t>Reliability &amp; Accuracy Safeguards (Detail)</w:t>
      </w:r>
    </w:p>
    <w:p w14:paraId="72606183">
      <w:pPr>
        <w:pStyle w:val="23"/>
      </w:pPr>
      <w:r>
        <w:rPr>
          <w:b/>
        </w:rPr>
        <w:t xml:space="preserve">Triple-check consensus: </w:t>
      </w:r>
      <w:r>
        <w:t>The AI is asked the same question 3 times independently, and the median answer is used — reduces random variance in AI responses.</w:t>
      </w:r>
    </w:p>
    <w:p w14:paraId="6A7AD228">
      <w:pPr>
        <w:pStyle w:val="23"/>
      </w:pPr>
      <w:r>
        <w:rPr>
          <w:b/>
        </w:rPr>
        <w:t xml:space="preserve">Confidence scoring: </w:t>
      </w:r>
      <w:r>
        <w:t>If the AI isn’t confident (e.g., due to occlusion or poor image quality), the result is flagged for human review.</w:t>
      </w:r>
    </w:p>
    <w:p w14:paraId="284384D4">
      <w:pPr>
        <w:pStyle w:val="23"/>
      </w:pPr>
      <w:r>
        <w:rPr>
          <w:b/>
        </w:rPr>
        <w:t xml:space="preserve">Regression guard: </w:t>
      </w:r>
      <w:r>
        <w:t>Progress is not allowed to unexpectedly drop by a large margin between runs without being flagged.</w:t>
      </w:r>
    </w:p>
    <w:p w14:paraId="7A44EAD6">
      <w:pPr>
        <w:pStyle w:val="23"/>
      </w:pPr>
      <w:r>
        <w:rPr>
          <w:b/>
        </w:rPr>
        <w:t xml:space="preserve">Consistency check: </w:t>
      </w:r>
      <w:r>
        <w:t>If the AI’s written summary mentions a number that doesn’t match its own calculated score, the summary is discarded and replaced.</w:t>
      </w:r>
    </w:p>
    <w:p w14:paraId="7A354DC0">
      <w:pPr>
        <w:pStyle w:val="3"/>
      </w:pPr>
      <w:r>
        <w:t>In Plain Terms</w:t>
      </w:r>
    </w:p>
    <w:p w14:paraId="7D36F582">
      <w:r>
        <w:rPr>
          <w:i/>
        </w:rPr>
        <w:t>The system doesn’t just "eyeball" two photos — it aligns them, removes people/vehicles, breaks the site into zones, compares each zone against known progress milestones using both classical image-matching and AI judgment, then cross-checks the AI’s answer against itself multiple times before reporting a final number.</w:t>
      </w:r>
    </w:p>
    <w:p w14:paraId="6D1DDAAF">
      <w:r>
        <w:br w:type="page"/>
      </w:r>
    </w:p>
    <w:p w14:paraId="582716D7">
      <w:pPr>
        <w:pStyle w:val="2"/>
      </w:pPr>
      <w:r>
        <w:t>3. Algorithm &amp; Formula — Exact Working</w:t>
      </w:r>
    </w:p>
    <w:p w14:paraId="53046C9E">
      <w:r>
        <w:t>This section documents the precise calculation used to arrive at a progress percentage, as implemented in code (reference_matcher.py, scorer.py, api.py). There is no single formula — it is a two-stage hybrid: a deterministic image-similarity score (classical computer vision, fully mathematical) that produces a candidate percentage, then an AI vision check that confirms or adjusts it within guardrails.</w:t>
      </w:r>
    </w:p>
    <w:p w14:paraId="7352D9E5">
      <w:pPr>
        <w:pStyle w:val="3"/>
      </w:pPr>
      <w:r>
        <w:t>Step A — Image Similarity Score (the core formula)</w:t>
      </w:r>
    </w:p>
    <w:p w14:paraId="769BCC03">
      <w:r>
        <w:t>For each zone, the current photo crop is compared against every labelled reference photo (e.g. 0%.jpg, 10%.jpg, ... 100%.jpg) using a weighted combination of three classical CV metrics. Both images are first resized to 256×256 pixels for a fair comparison.</w:t>
      </w:r>
    </w:p>
    <w:p w14:paraId="1309E043">
      <w:r>
        <w:rPr>
          <w:b/>
        </w:rPr>
        <w:t>Similarity = (0.35 × Histogram Score) + (0.40 × ORB Feature-Match Score) + (0.25 × Pixel-Difference Score)</w:t>
      </w:r>
    </w:p>
    <w:tbl>
      <w:tblPr>
        <w:tblStyle w:val="52"/>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45ED2F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shd w:val="clear" w:color="auto" w:fill="2E5395"/>
          </w:tcPr>
          <w:p w14:paraId="0735EA48">
            <w:pPr>
              <w:spacing w:after="0" w:line="240" w:lineRule="auto"/>
            </w:pPr>
            <w:r>
              <w:rPr>
                <w:b/>
                <w:color w:val="FFFFFF"/>
              </w:rPr>
              <w:t>Component</w:t>
            </w:r>
          </w:p>
        </w:tc>
        <w:tc>
          <w:tcPr>
            <w:tcW w:w="2880" w:type="dxa"/>
            <w:shd w:val="clear" w:color="auto" w:fill="2E5395"/>
          </w:tcPr>
          <w:p w14:paraId="0EF80247">
            <w:pPr>
              <w:spacing w:after="0" w:line="240" w:lineRule="auto"/>
            </w:pPr>
            <w:r>
              <w:rPr>
                <w:b/>
                <w:color w:val="FFFFFF"/>
              </w:rPr>
              <w:t>Weight</w:t>
            </w:r>
          </w:p>
        </w:tc>
        <w:tc>
          <w:tcPr>
            <w:tcW w:w="2880" w:type="dxa"/>
            <w:shd w:val="clear" w:color="auto" w:fill="2E5395"/>
          </w:tcPr>
          <w:p w14:paraId="3F2786A2">
            <w:pPr>
              <w:spacing w:after="0" w:line="240" w:lineRule="auto"/>
            </w:pPr>
            <w:r>
              <w:rPr>
                <w:b/>
                <w:color w:val="FFFFFF"/>
              </w:rPr>
              <w:t>What it measures / how it is calculated</w:t>
            </w:r>
          </w:p>
        </w:tc>
      </w:tr>
      <w:tr w14:paraId="5F93D8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156814A1">
            <w:pPr>
              <w:spacing w:after="0" w:line="240" w:lineRule="auto"/>
            </w:pPr>
            <w:r>
              <w:rPr>
                <w:b/>
              </w:rPr>
              <w:t>Histogram Correlation</w:t>
            </w:r>
          </w:p>
        </w:tc>
        <w:tc>
          <w:tcPr>
            <w:tcW w:w="2880" w:type="dxa"/>
          </w:tcPr>
          <w:p w14:paraId="77AA49D7">
            <w:pPr>
              <w:spacing w:after="0" w:line="240" w:lineRule="auto"/>
            </w:pPr>
            <w:r>
              <w:t>35%</w:t>
            </w:r>
          </w:p>
        </w:tc>
        <w:tc>
          <w:tcPr>
            <w:tcW w:w="2880" w:type="dxa"/>
          </w:tcPr>
          <w:p w14:paraId="3A04CCC2">
            <w:pPr>
              <w:spacing w:after="0" w:line="240" w:lineRule="auto"/>
            </w:pPr>
            <w:r>
              <w:t>Colour-distribution similarity per channel (R/G/B), using OpenCV’s compareHist (HISTCMP_CORREL) on 64-bin normalised histograms, averaged across channels.</w:t>
            </w:r>
          </w:p>
        </w:tc>
      </w:tr>
      <w:tr w14:paraId="2ABC386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D3E8BE6">
            <w:pPr>
              <w:spacing w:after="0" w:line="240" w:lineRule="auto"/>
            </w:pPr>
            <w:r>
              <w:rPr>
                <w:b/>
              </w:rPr>
              <w:t>ORB Feature-Match Ratio</w:t>
            </w:r>
          </w:p>
        </w:tc>
        <w:tc>
          <w:tcPr>
            <w:tcW w:w="2880" w:type="dxa"/>
          </w:tcPr>
          <w:p w14:paraId="7C649DA3">
            <w:pPr>
              <w:spacing w:after="0" w:line="240" w:lineRule="auto"/>
            </w:pPr>
            <w:r>
              <w:t>40%</w:t>
            </w:r>
          </w:p>
        </w:tc>
        <w:tc>
          <w:tcPr>
            <w:tcW w:w="2880" w:type="dxa"/>
          </w:tcPr>
          <w:p w14:paraId="284328C8">
            <w:pPr>
              <w:spacing w:after="0" w:line="240" w:lineRule="auto"/>
            </w:pPr>
            <w:r>
              <w:t>Structural similarity: detects up to 300 keypoints (ORB) in each image, matches them (Brute-Force Hamming matcher), keeps matches with distance &lt; 60, and computes ratio = good_matches ÷ max(keypoints_A, keypoints_B).</w:t>
            </w:r>
          </w:p>
        </w:tc>
      </w:tr>
      <w:tr w14:paraId="37BE772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880" w:type="dxa"/>
          </w:tcPr>
          <w:p w14:paraId="6B355DAE">
            <w:pPr>
              <w:spacing w:after="0" w:line="240" w:lineRule="auto"/>
            </w:pPr>
            <w:r>
              <w:rPr>
                <w:b/>
              </w:rPr>
              <w:t>Pixel-Difference Score</w:t>
            </w:r>
          </w:p>
        </w:tc>
        <w:tc>
          <w:tcPr>
            <w:tcW w:w="2880" w:type="dxa"/>
          </w:tcPr>
          <w:p w14:paraId="6FD7467C">
            <w:pPr>
              <w:spacing w:after="0" w:line="240" w:lineRule="auto"/>
            </w:pPr>
            <w:r>
              <w:t>25%</w:t>
            </w:r>
          </w:p>
        </w:tc>
        <w:tc>
          <w:tcPr>
            <w:tcW w:w="2880" w:type="dxa"/>
          </w:tcPr>
          <w:p w14:paraId="26464E5D">
            <w:pPr>
              <w:spacing w:after="0" w:line="240" w:lineRule="auto"/>
            </w:pPr>
            <w:r>
              <w:t>Texture/appearance change: mean absolute pixel difference between the two images, normalised to 0–1, inverted so lower difference = higher similarity. Formula: max(0, 1 − (mean_abs_diff / 255) × 4).</w:t>
            </w:r>
          </w:p>
        </w:tc>
      </w:tr>
    </w:tbl>
    <w:p w14:paraId="427A1A54">
      <w:r>
        <w:rPr>
          <w:b/>
        </w:rPr>
        <w:t xml:space="preserve">Result: </w:t>
      </w:r>
      <w:r>
        <w:t>a similarity score from 0 (completely different) to 1 (identical), computed against every reference image in the bank.</w:t>
      </w:r>
    </w:p>
    <w:p w14:paraId="4CA8CE92">
      <w:pPr>
        <w:pStyle w:val="3"/>
      </w:pPr>
      <w:r>
        <w:t>Step B — Selecting and Interpolating Between References</w:t>
      </w:r>
    </w:p>
    <w:p w14:paraId="380B187C">
      <w:pPr>
        <w:pStyle w:val="23"/>
      </w:pPr>
      <w:r>
        <w:t>The reference image with the highest similarity score is taken as the "best match" (best_pct).</w:t>
      </w:r>
    </w:p>
    <w:p w14:paraId="69C7F712">
      <w:pPr>
        <w:pStyle w:val="23"/>
      </w:pPr>
      <w:r>
        <w:t>The system also looks at the reference immediately below and immediately above that best match on the percentage scale (e.g. if 40% is the best match, it looks at 30% and 50%).</w:t>
      </w:r>
    </w:p>
    <w:p w14:paraId="5D3E829D">
      <w:pPr>
        <w:pStyle w:val="23"/>
      </w:pPr>
      <w:r>
        <w:t>It then interpolates a finer-grained percentage between those two neighbours, weighted toward whichever one is more similar:</w:t>
      </w:r>
    </w:p>
    <w:p w14:paraId="775B2DCE">
      <w:r>
        <w:rPr>
          <w:b/>
        </w:rPr>
        <w:t>Interpolated % = Lower% + (Upper% − Lower%) × [ Upper_similarity ÷ (Lower_similarity + Upper_similarity) ]</w:t>
      </w:r>
    </w:p>
    <w:p w14:paraId="24CA0D61">
      <w:r>
        <w:rPr>
          <w:b/>
        </w:rPr>
        <w:t xml:space="preserve">Example: </w:t>
      </w:r>
      <w:r>
        <w:t>if the 30% reference has similarity 0.55 and the 50% reference has similarity 0.75, the weight toward 50% is 0.75 ÷ (0.55+0.75) = 0.577, giving Interpolated % = 30 + (50−30) × 0.577 = 41.5%.</w:t>
      </w:r>
    </w:p>
    <w:p w14:paraId="01259028">
      <w:pPr>
        <w:pStyle w:val="3"/>
      </w:pPr>
      <w:r>
        <w:t>Step C — Confidence of the Match</w:t>
      </w:r>
    </w:p>
    <w:p w14:paraId="35208D10">
      <w:r>
        <w:t>Confidence reflects how clearly one reference "wins" over the next-best one:</w:t>
      </w:r>
    </w:p>
    <w:p w14:paraId="2EE55869">
      <w:r>
        <w:rPr>
          <w:b/>
        </w:rPr>
        <w:t>Confidence = min(1.0, (Best_similarity − Second_best_similarity) × 5 + 0.5)</w:t>
      </w:r>
    </w:p>
    <w:p w14:paraId="1EBEC8C5">
      <w:r>
        <w:t>A narrow gap between the top two matches means the photo is ambiguous between two milestones, so confidence is lower.</w:t>
      </w:r>
    </w:p>
    <w:p w14:paraId="2ABA326A">
      <w:pPr>
        <w:pStyle w:val="3"/>
      </w:pPr>
      <w:r>
        <w:t>Step D — AI Confirmation Pass</w:t>
      </w:r>
    </w:p>
    <w:p w14:paraId="12AFEA90">
      <w:r>
        <w:t>The interpolated percentage from Step B is not published directly. It is sent to the Azure GPT vision model together with the actual zone photo and the reference matching numbers, and the model is instructed to use the interpolated value "unless you see a clear reason to adjust." This catches cases where the pixel-level math is misled (e.g. a shadow, lighting change, or camera glare) that a human/AI eye would immediately discount.</w:t>
      </w:r>
    </w:p>
    <w:p w14:paraId="6717564E">
      <w:pPr>
        <w:pStyle w:val="3"/>
      </w:pPr>
      <w:r>
        <w:t>Step E — Ensembling (Production API path)</w:t>
      </w:r>
    </w:p>
    <w:p w14:paraId="7C307825">
      <w:r>
        <w:t>In the live API, the AI confirmation step above is executed 3 times independently (temperature = 0, but vision models still carry some run-to-run variance). The 3 returned percentages are sorted and the median (middle) value is taken as the final answer, discarding the highest and lowest outlier.</w:t>
      </w:r>
    </w:p>
    <w:p w14:paraId="5C7AB11E">
      <w:pPr>
        <w:pStyle w:val="3"/>
      </w:pPr>
      <w:r>
        <w:t>Step F — Overall Site Percentage (combining zones)</w:t>
      </w:r>
    </w:p>
    <w:p w14:paraId="063F97C1">
      <w:r>
        <w:t>Once every zone has a percentage and a confidence value, the overall site progress is a confidence-weighted average — zones the system is less sure about count for less:</w:t>
      </w:r>
    </w:p>
    <w:p w14:paraId="69A30FC7">
      <w:r>
        <w:rPr>
          <w:b/>
        </w:rPr>
        <w:t>Overall % = Σ (Zone% × Zone_confidence) ÷ Σ (Zone_confidence)</w:t>
      </w:r>
    </w:p>
    <w:p w14:paraId="4C1B2235">
      <w:pPr>
        <w:pStyle w:val="3"/>
      </w:pPr>
      <w:r>
        <w:t>Guardrails Applied to the Final Number</w:t>
      </w:r>
    </w:p>
    <w:p w14:paraId="137E81FB">
      <w:pPr>
        <w:pStyle w:val="23"/>
      </w:pPr>
      <w:r>
        <w:rPr>
          <w:b/>
        </w:rPr>
        <w:t xml:space="preserve">Occlusion penalty: </w:t>
      </w:r>
      <w:r>
        <w:t>If people/vehicles/equipment covered part of the zone, confidence is capped at 0.4 regardless of the calculated value.</w:t>
      </w:r>
    </w:p>
    <w:p w14:paraId="18F1D37C">
      <w:pPr>
        <w:pStyle w:val="23"/>
      </w:pPr>
      <w:r>
        <w:rPr>
          <w:b/>
        </w:rPr>
        <w:t xml:space="preserve">Regression clamp: </w:t>
      </w:r>
      <w:r>
        <w:t>If the new % is more than 5 points lower than the last recorded run for that zone, the drop is rejected and the previous value is kept (flagged, not silently hidden).</w:t>
      </w:r>
    </w:p>
    <w:p w14:paraId="2E71D3B6">
      <w:pPr>
        <w:pStyle w:val="23"/>
      </w:pPr>
      <w:r>
        <w:rPr>
          <w:b/>
        </w:rPr>
        <w:t xml:space="preserve">Human review trigger: </w:t>
      </w:r>
      <w:r>
        <w:t>Any zone with confidence below the 0.6 threshold, or with occlusion detected, is flagged as "needs human review" rather than accepted automatically.</w:t>
      </w:r>
    </w:p>
    <w:p w14:paraId="431D78CF">
      <w:pPr>
        <w:pStyle w:val="3"/>
      </w:pPr>
      <w:r>
        <w:t>Fallback — No Reference Photos Available</w:t>
      </w:r>
    </w:p>
    <w:p w14:paraId="21FF92F0">
      <w:r>
        <w:t>If a zone has no labelled reference-image bank yet, Steps A–C are skipped entirely and the AI model is asked to estimate % directly against a fixed written milestone rubric embedded in the prompt (0% = site cleared → 10% excavation → 20% PCC blinding → 30% rebar started → 50% rebar complete/formwork started → 65% formwork complete → 75% concrete poured → 85% cured/deshuttering → 90% finishing → 100% complete). This path is less precise since it has no measured pixel-level anchor, which is why the reference-bank path (Steps A–D) is preferred whenever labelled photos exist.</w:t>
      </w:r>
    </w:p>
    <w:p w14:paraId="5228845D">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D1D21DF"/>
    <w:rsid w:val="7AB512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1391</Words>
  <Characters>7726</Characters>
  <Lines>0</Lines>
  <Paragraphs>0</Paragraphs>
  <TotalTime>245</TotalTime>
  <ScaleCrop>false</ScaleCrop>
  <LinksUpToDate>false</LinksUpToDate>
  <CharactersWithSpaces>9032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Thinqx INA1</cp:lastModifiedBy>
  <dcterms:modified xsi:type="dcterms:W3CDTF">2026-08-18T11:34:15Z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eyJoZGlkIjoiMjRjYTZkNTQyZGU0ZDcxNzI0NGY2ZjlkODkwZWU3ZGEifQ==</vt:lpwstr>
  </property>
  <property fmtid="{D5CDD505-2E9C-101B-9397-08002B2CF9AE}" pid="3" name="KSOProductBuildVer">
    <vt:lpwstr>1033-12.1.0.28032</vt:lpwstr>
  </property>
  <property fmtid="{D5CDD505-2E9C-101B-9397-08002B2CF9AE}" pid="4" name="ICV">
    <vt:lpwstr>0E751ED4391E4875A634FC5241215383_12</vt:lpwstr>
  </property>
</Properties>
</file>