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51D10" w14:textId="77777777" w:rsidR="006B6BD4" w:rsidRPr="006B6BD4" w:rsidRDefault="006B6BD4" w:rsidP="006B6BD4">
      <w:r w:rsidRPr="006B6BD4">
        <w:t>1. Overview</w:t>
      </w:r>
    </w:p>
    <w:p w14:paraId="44C8B087" w14:textId="23CF330A" w:rsidR="006B6BD4" w:rsidRPr="006B6BD4" w:rsidRDefault="006B6BD4" w:rsidP="006B6BD4">
      <w:r w:rsidRPr="006B6BD4">
        <w:rPr>
          <w:b/>
          <w:bCs/>
        </w:rPr>
        <w:t>MicroStrategy Operator is</w:t>
      </w:r>
      <w:r w:rsidRPr="006B6BD4">
        <w:t xml:space="preserve"> The MicroStrategy Operator is a </w:t>
      </w:r>
      <w:r w:rsidR="00C745CF">
        <w:t>OpenShift</w:t>
      </w:r>
      <w:r w:rsidRPr="006B6BD4">
        <w:t xml:space="preserve"> automation framework designed to manage the deployment, configuration, and lifecycle of MicroStrategy environments. It acts as a controller that leverages the </w:t>
      </w:r>
      <w:r w:rsidR="00C745CF">
        <w:t>Cluster</w:t>
      </w:r>
      <w:r w:rsidRPr="006B6BD4">
        <w:t xml:space="preserve"> Operator pattern and Custom Resource Definitions (CRDs) to declaratively manage complex application components on OpenShift and Kubernetes platforms.</w:t>
      </w:r>
    </w:p>
    <w:p w14:paraId="622900FB" w14:textId="58FB982B" w:rsidR="006B6BD4" w:rsidRPr="006B6BD4" w:rsidRDefault="006B6BD4" w:rsidP="006B6BD4">
      <w:r w:rsidRPr="006B6BD4">
        <w:rPr>
          <w:b/>
          <w:bCs/>
        </w:rPr>
        <w:t xml:space="preserve">Purpose and Benefits in </w:t>
      </w:r>
      <w:r w:rsidR="00684D7E">
        <w:rPr>
          <w:b/>
          <w:bCs/>
        </w:rPr>
        <w:t xml:space="preserve">OpenShift </w:t>
      </w:r>
      <w:r w:rsidRPr="006B6BD4">
        <w:rPr>
          <w:b/>
          <w:bCs/>
        </w:rPr>
        <w:t>Environments</w:t>
      </w:r>
      <w:r w:rsidRPr="006B6BD4">
        <w:t xml:space="preserve"> The operator provides a fully automated approach to provisioning MicroStrategy environments, eliminating manual deployment steps and ensuring consistent configurations across clusters. Key benefits include seamless scalability, self-healing via continuous reconciliation, and native integration with platform features like service mesh, storage, and networking.</w:t>
      </w:r>
    </w:p>
    <w:p w14:paraId="5A177C7E" w14:textId="77777777" w:rsidR="006B6BD4" w:rsidRPr="006B6BD4" w:rsidRDefault="006B6BD4" w:rsidP="006B6BD4">
      <w:r w:rsidRPr="006B6BD4">
        <w:t>2. Objectives</w:t>
      </w:r>
    </w:p>
    <w:p w14:paraId="520FC969" w14:textId="77777777" w:rsidR="006B6BD4" w:rsidRPr="006B6BD4" w:rsidRDefault="006B6BD4" w:rsidP="006B6BD4">
      <w:pPr>
        <w:numPr>
          <w:ilvl w:val="0"/>
          <w:numId w:val="1"/>
        </w:numPr>
      </w:pPr>
      <w:r w:rsidRPr="006B6BD4">
        <w:rPr>
          <w:b/>
          <w:bCs/>
        </w:rPr>
        <w:t>Automation Goals</w:t>
      </w:r>
      <w:r w:rsidRPr="006B6BD4">
        <w:t>: Enable the declarative deployment of the full MicroStrategy stack using a single Custom Resource (CR) YAML file, standardizing environment creation with zero manual intervention required post-trigger.</w:t>
      </w:r>
    </w:p>
    <w:p w14:paraId="42AEA09A" w14:textId="77777777" w:rsidR="006B6BD4" w:rsidRPr="006B6BD4" w:rsidRDefault="006B6BD4" w:rsidP="006B6BD4">
      <w:pPr>
        <w:numPr>
          <w:ilvl w:val="0"/>
          <w:numId w:val="1"/>
        </w:numPr>
      </w:pPr>
      <w:r w:rsidRPr="006B6BD4">
        <w:rPr>
          <w:b/>
          <w:bCs/>
        </w:rPr>
        <w:t>Scalability and Lifecycle Management</w:t>
      </w:r>
      <w:r w:rsidRPr="006B6BD4">
        <w:t>: Support automated multi-node deployments and the horizontal scaling of components like the Web and Library servers. The operator oversees the full lifecycle, including continuous reconciliation, rolling upgrades, and cluster self-healing.</w:t>
      </w:r>
    </w:p>
    <w:p w14:paraId="40541D85" w14:textId="77777777" w:rsidR="006B6BD4" w:rsidRPr="006B6BD4" w:rsidRDefault="006B6BD4" w:rsidP="006B6BD4">
      <w:r w:rsidRPr="006B6BD4">
        <w:t>3. Architecture</w:t>
      </w:r>
    </w:p>
    <w:p w14:paraId="75FD4E88" w14:textId="7013223F" w:rsidR="006B6BD4" w:rsidRPr="006B6BD4" w:rsidRDefault="006B6BD4" w:rsidP="006B6BD4">
      <w:r w:rsidRPr="006B6BD4">
        <w:rPr>
          <w:b/>
          <w:bCs/>
        </w:rPr>
        <w:t>Architecture of MicroStrategy Operator</w:t>
      </w:r>
      <w:r w:rsidRPr="006B6BD4">
        <w:t xml:space="preserve"> The architecture follows a declarative flow:</w:t>
      </w:r>
    </w:p>
    <w:p w14:paraId="11BAA1BC" w14:textId="77777777" w:rsidR="006B6BD4" w:rsidRPr="006B6BD4" w:rsidRDefault="006B6BD4" w:rsidP="006B6BD4">
      <w:pPr>
        <w:numPr>
          <w:ilvl w:val="0"/>
          <w:numId w:val="2"/>
        </w:numPr>
      </w:pPr>
      <w:r w:rsidRPr="006B6BD4">
        <w:t>User applies a Custom Resource (CR) YAML.</w:t>
      </w:r>
    </w:p>
    <w:p w14:paraId="3FDB532F" w14:textId="77777777" w:rsidR="006B6BD4" w:rsidRPr="006B6BD4" w:rsidRDefault="006B6BD4" w:rsidP="006B6BD4">
      <w:pPr>
        <w:numPr>
          <w:ilvl w:val="0"/>
          <w:numId w:val="2"/>
        </w:numPr>
      </w:pPr>
      <w:r w:rsidRPr="006B6BD4">
        <w:t>The Kubernetes API server passes this to the MicroStrategy Operator.</w:t>
      </w:r>
    </w:p>
    <w:p w14:paraId="5C12FA27" w14:textId="77777777" w:rsidR="006B6BD4" w:rsidRPr="006B6BD4" w:rsidRDefault="006B6BD4" w:rsidP="006B6BD4">
      <w:pPr>
        <w:numPr>
          <w:ilvl w:val="0"/>
          <w:numId w:val="2"/>
        </w:numPr>
      </w:pPr>
      <w:r w:rsidRPr="006B6BD4">
        <w:t>The Operator translates the CR into Kubernetes Objects (Pods, Services, PVCs).</w:t>
      </w:r>
    </w:p>
    <w:p w14:paraId="5F13A054" w14:textId="77777777" w:rsidR="006B6BD4" w:rsidRPr="006B6BD4" w:rsidRDefault="006B6BD4" w:rsidP="006B6BD4">
      <w:pPr>
        <w:numPr>
          <w:ilvl w:val="0"/>
          <w:numId w:val="2"/>
        </w:numPr>
      </w:pPr>
      <w:r w:rsidRPr="006B6BD4">
        <w:t>Application components are exposed externally via an Ingress or OpenShift Route.</w:t>
      </w:r>
    </w:p>
    <w:p w14:paraId="0EFAA184" w14:textId="77777777" w:rsidR="006B6BD4" w:rsidRPr="006B6BD4" w:rsidRDefault="006B6BD4" w:rsidP="006B6BD4">
      <w:r w:rsidRPr="006B6BD4">
        <w:rPr>
          <w:b/>
          <w:bCs/>
        </w:rPr>
        <w:t>Kubernetes Operator Pattern Explanation</w:t>
      </w:r>
      <w:r w:rsidRPr="006B6BD4">
        <w:t xml:space="preserve"> The operator operates on a continuous reconciliation loop. It watches the custom resources, compares the "desired state" defined by the user in the CR against the "actual state" of the cluster, and automatically reconciles any differences.</w:t>
      </w:r>
    </w:p>
    <w:p w14:paraId="4013071D" w14:textId="77777777" w:rsidR="006B6BD4" w:rsidRPr="006B6BD4" w:rsidRDefault="006B6BD4" w:rsidP="006B6BD4">
      <w:r w:rsidRPr="006B6BD4">
        <w:rPr>
          <w:b/>
          <w:bCs/>
        </w:rPr>
        <w:t>Interaction Between Components</w:t>
      </w:r>
      <w:r w:rsidRPr="006B6BD4">
        <w:t xml:space="preserve"> When a user submits a CR, the operator triggers an internal Helm deployment process. Kubernetes schedules and creates the necessary resources, and networking components (like Istio Gateways or OpenShift Routes) expose the internal services to end-users.</w:t>
      </w:r>
    </w:p>
    <w:p w14:paraId="3504CC49" w14:textId="77777777" w:rsidR="006B6BD4" w:rsidRPr="006B6BD4" w:rsidRDefault="006B6BD4" w:rsidP="006B6BD4">
      <w:r w:rsidRPr="006B6BD4">
        <w:t>4. Core Components</w:t>
      </w:r>
    </w:p>
    <w:p w14:paraId="141DE3D0" w14:textId="77777777" w:rsidR="006B6BD4" w:rsidRPr="006B6BD4" w:rsidRDefault="006B6BD4" w:rsidP="006B6BD4">
      <w:r w:rsidRPr="006B6BD4">
        <w:rPr>
          <w:b/>
          <w:bCs/>
        </w:rPr>
        <w:t>Operator Controller (Reconciliation Loop)</w:t>
      </w:r>
      <w:r w:rsidRPr="006B6BD4">
        <w:t xml:space="preserve"> The controller is the "brain" of the operator. It continuously watches MicroStrategy CRDs and implements the reconciliation loop to ensure pods are running, services are healthy, and the desired configuration is applied.</w:t>
      </w:r>
    </w:p>
    <w:p w14:paraId="59B96D7D" w14:textId="77777777" w:rsidR="006B6BD4" w:rsidRPr="006B6BD4" w:rsidRDefault="006B6BD4" w:rsidP="006B6BD4">
      <w:r w:rsidRPr="006B6BD4">
        <w:rPr>
          <w:b/>
          <w:bCs/>
        </w:rPr>
        <w:t>Custom Resource Definitions (CRDs)</w:t>
      </w:r>
      <w:r w:rsidRPr="006B6BD4">
        <w:t xml:space="preserve"> CRDs extend the Kubernetes API with MicroStrategy-specific objects. The primary CRD is </w:t>
      </w:r>
      <w:proofErr w:type="spellStart"/>
      <w:r w:rsidRPr="006B6BD4">
        <w:t>MstrEnvironment</w:t>
      </w:r>
      <w:proofErr w:type="spellEnd"/>
      <w:r w:rsidRPr="006B6BD4">
        <w:t xml:space="preserve">, which defines the entire deployment. Other CRDs include </w:t>
      </w:r>
      <w:proofErr w:type="spellStart"/>
      <w:r w:rsidRPr="006B6BD4">
        <w:t>MstrBackup</w:t>
      </w:r>
      <w:proofErr w:type="spellEnd"/>
      <w:r w:rsidRPr="006B6BD4">
        <w:t xml:space="preserve"> and </w:t>
      </w:r>
      <w:proofErr w:type="spellStart"/>
      <w:r w:rsidRPr="006B6BD4">
        <w:t>MstrSync</w:t>
      </w:r>
      <w:proofErr w:type="spellEnd"/>
      <w:r w:rsidRPr="006B6BD4">
        <w:t>.</w:t>
      </w:r>
    </w:p>
    <w:p w14:paraId="39AA46D4" w14:textId="77777777" w:rsidR="006B6BD4" w:rsidRPr="006B6BD4" w:rsidRDefault="006B6BD4" w:rsidP="006B6BD4">
      <w:r w:rsidRPr="006B6BD4">
        <w:rPr>
          <w:b/>
          <w:bCs/>
        </w:rPr>
        <w:t>MicroStrategy Services</w:t>
      </w:r>
    </w:p>
    <w:p w14:paraId="546BF481" w14:textId="77777777" w:rsidR="006B6BD4" w:rsidRPr="006B6BD4" w:rsidRDefault="006B6BD4" w:rsidP="006B6BD4">
      <w:pPr>
        <w:numPr>
          <w:ilvl w:val="0"/>
          <w:numId w:val="3"/>
        </w:numPr>
      </w:pPr>
      <w:r w:rsidRPr="006B6BD4">
        <w:rPr>
          <w:b/>
          <w:bCs/>
        </w:rPr>
        <w:lastRenderedPageBreak/>
        <w:t>Intelligence Server</w:t>
      </w:r>
      <w:r w:rsidRPr="006B6BD4">
        <w:t>: The core analytics engine that handles query execution, report processing, and connects to the metadata repository.</w:t>
      </w:r>
    </w:p>
    <w:p w14:paraId="4C8FC943" w14:textId="77777777" w:rsidR="006B6BD4" w:rsidRPr="006B6BD4" w:rsidRDefault="006B6BD4" w:rsidP="006B6BD4">
      <w:pPr>
        <w:numPr>
          <w:ilvl w:val="0"/>
          <w:numId w:val="3"/>
        </w:numPr>
      </w:pPr>
      <w:r w:rsidRPr="006B6BD4">
        <w:rPr>
          <w:b/>
          <w:bCs/>
        </w:rPr>
        <w:t>Web Server</w:t>
      </w:r>
      <w:r w:rsidRPr="006B6BD4">
        <w:t>: Provides the classic web interface for user login, report viewing, and administrative tasks.</w:t>
      </w:r>
    </w:p>
    <w:p w14:paraId="4328E55C" w14:textId="77777777" w:rsidR="006B6BD4" w:rsidRPr="006B6BD4" w:rsidRDefault="006B6BD4" w:rsidP="006B6BD4">
      <w:pPr>
        <w:numPr>
          <w:ilvl w:val="0"/>
          <w:numId w:val="3"/>
        </w:numPr>
      </w:pPr>
      <w:r w:rsidRPr="006B6BD4">
        <w:rPr>
          <w:b/>
          <w:bCs/>
        </w:rPr>
        <w:t>Library Server</w:t>
      </w:r>
      <w:r w:rsidRPr="006B6BD4">
        <w:t>: Delivers the modern UI experience, interactive dossiers, and mobile-style UX.</w:t>
      </w:r>
    </w:p>
    <w:p w14:paraId="12F3C1FB" w14:textId="77777777" w:rsidR="006B6BD4" w:rsidRPr="006B6BD4" w:rsidRDefault="006B6BD4" w:rsidP="006B6BD4">
      <w:pPr>
        <w:numPr>
          <w:ilvl w:val="0"/>
          <w:numId w:val="3"/>
        </w:numPr>
      </w:pPr>
      <w:r w:rsidRPr="006B6BD4">
        <w:rPr>
          <w:b/>
          <w:bCs/>
        </w:rPr>
        <w:t>Mobile Server (Optional)</w:t>
      </w:r>
      <w:r w:rsidRPr="006B6BD4">
        <w:t>: Provides the mobile access layer for the environment.</w:t>
      </w:r>
    </w:p>
    <w:p w14:paraId="2C657F92" w14:textId="77777777" w:rsidR="006B6BD4" w:rsidRPr="006B6BD4" w:rsidRDefault="006B6BD4" w:rsidP="006B6BD4">
      <w:r w:rsidRPr="006B6BD4">
        <w:rPr>
          <w:b/>
          <w:bCs/>
        </w:rPr>
        <w:t>Supporting Components</w:t>
      </w:r>
    </w:p>
    <w:p w14:paraId="4CDBBF28" w14:textId="77777777" w:rsidR="006B6BD4" w:rsidRPr="006B6BD4" w:rsidRDefault="006B6BD4" w:rsidP="006B6BD4">
      <w:pPr>
        <w:numPr>
          <w:ilvl w:val="0"/>
          <w:numId w:val="4"/>
        </w:numPr>
      </w:pPr>
      <w:r w:rsidRPr="006B6BD4">
        <w:rPr>
          <w:b/>
          <w:bCs/>
        </w:rPr>
        <w:t>Metadata Database</w:t>
      </w:r>
      <w:r w:rsidRPr="006B6BD4">
        <w:t>: An external database (e.g., PostgreSQL, Oracle) that stores application metadata, schemas, and configurations.</w:t>
      </w:r>
    </w:p>
    <w:p w14:paraId="25414770" w14:textId="77777777" w:rsidR="006B6BD4" w:rsidRPr="006B6BD4" w:rsidRDefault="006B6BD4" w:rsidP="006B6BD4">
      <w:pPr>
        <w:numPr>
          <w:ilvl w:val="0"/>
          <w:numId w:val="4"/>
        </w:numPr>
      </w:pPr>
      <w:r w:rsidRPr="006B6BD4">
        <w:rPr>
          <w:b/>
          <w:bCs/>
        </w:rPr>
        <w:t>Persistent Storage</w:t>
      </w:r>
      <w:r w:rsidRPr="006B6BD4">
        <w:t>: Persistent Volume Claims (PVCs) for stateful data storage.</w:t>
      </w:r>
    </w:p>
    <w:p w14:paraId="545E485C" w14:textId="77777777" w:rsidR="006B6BD4" w:rsidRPr="006B6BD4" w:rsidRDefault="006B6BD4" w:rsidP="006B6BD4">
      <w:pPr>
        <w:numPr>
          <w:ilvl w:val="0"/>
          <w:numId w:val="4"/>
        </w:numPr>
      </w:pPr>
      <w:r w:rsidRPr="006B6BD4">
        <w:rPr>
          <w:b/>
          <w:bCs/>
        </w:rPr>
        <w:t xml:space="preserve">Secrets and </w:t>
      </w:r>
      <w:proofErr w:type="spellStart"/>
      <w:r w:rsidRPr="006B6BD4">
        <w:rPr>
          <w:b/>
          <w:bCs/>
        </w:rPr>
        <w:t>ConfigMaps</w:t>
      </w:r>
      <w:proofErr w:type="spellEnd"/>
      <w:r w:rsidRPr="006B6BD4">
        <w:t>: Used to securely inject license keys, database credentials, image pull secrets, and runtime configurations.</w:t>
      </w:r>
    </w:p>
    <w:p w14:paraId="400AE5DC" w14:textId="77777777" w:rsidR="006B6BD4" w:rsidRPr="006B6BD4" w:rsidRDefault="006B6BD4" w:rsidP="006B6BD4">
      <w:r w:rsidRPr="006B6BD4">
        <w:t>5. Technical Details</w:t>
      </w:r>
    </w:p>
    <w:p w14:paraId="7D210D19" w14:textId="77777777" w:rsidR="006B6BD4" w:rsidRPr="006B6BD4" w:rsidRDefault="006B6BD4" w:rsidP="006B6BD4">
      <w:r w:rsidRPr="006B6BD4">
        <w:rPr>
          <w:b/>
          <w:bCs/>
        </w:rPr>
        <w:t>How CRDs are Defined and Used</w:t>
      </w:r>
      <w:r w:rsidRPr="006B6BD4">
        <w:t xml:space="preserve"> CRDs define the desired application state through specific YAML schema fields. The operator reads the spec fields from the </w:t>
      </w:r>
      <w:proofErr w:type="spellStart"/>
      <w:r w:rsidRPr="006B6BD4">
        <w:t>MstrEnvironment</w:t>
      </w:r>
      <w:proofErr w:type="spellEnd"/>
      <w:r w:rsidRPr="006B6BD4">
        <w:t xml:space="preserve"> CR and processes them to generate the underlying cluster resources.</w:t>
      </w:r>
    </w:p>
    <w:p w14:paraId="780072A9" w14:textId="77777777" w:rsidR="006B6BD4" w:rsidRPr="006B6BD4" w:rsidRDefault="006B6BD4" w:rsidP="006B6BD4">
      <w:r w:rsidRPr="006B6BD4">
        <w:rPr>
          <w:b/>
          <w:bCs/>
        </w:rPr>
        <w:t>Deployment Objects</w:t>
      </w:r>
      <w:r w:rsidRPr="006B6BD4">
        <w:t xml:space="preserve"> The operator dynamically generates Deployments for stateless web components, </w:t>
      </w:r>
      <w:proofErr w:type="spellStart"/>
      <w:r w:rsidRPr="006B6BD4">
        <w:t>StatefulSets</w:t>
      </w:r>
      <w:proofErr w:type="spellEnd"/>
      <w:r w:rsidRPr="006B6BD4">
        <w:t xml:space="preserve"> for components needing state/identity (like Zookeeper, Redis, and Database clients), and Services (</w:t>
      </w:r>
      <w:proofErr w:type="spellStart"/>
      <w:r w:rsidRPr="006B6BD4">
        <w:t>ClusterIP</w:t>
      </w:r>
      <w:proofErr w:type="spellEnd"/>
      <w:r w:rsidRPr="006B6BD4">
        <w:t>/</w:t>
      </w:r>
      <w:proofErr w:type="spellStart"/>
      <w:r w:rsidRPr="006B6BD4">
        <w:t>LoadBalancer</w:t>
      </w:r>
      <w:proofErr w:type="spellEnd"/>
      <w:r w:rsidRPr="006B6BD4">
        <w:t>) for internal communication.</w:t>
      </w:r>
    </w:p>
    <w:p w14:paraId="443BC3E4" w14:textId="77777777" w:rsidR="006B6BD4" w:rsidRPr="006B6BD4" w:rsidRDefault="006B6BD4" w:rsidP="006B6BD4">
      <w:r w:rsidRPr="006B6BD4">
        <w:rPr>
          <w:b/>
          <w:bCs/>
        </w:rPr>
        <w:t>Resource Allocation</w:t>
      </w:r>
      <w:r w:rsidRPr="006B6BD4">
        <w:t xml:space="preserve"> CPU and memory are strictly controlled via Kubernetes resource requests and limits within the CR.</w:t>
      </w:r>
    </w:p>
    <w:p w14:paraId="43D6DD77" w14:textId="77777777" w:rsidR="006B6BD4" w:rsidRPr="006B6BD4" w:rsidRDefault="006B6BD4" w:rsidP="006B6BD4">
      <w:r w:rsidRPr="006B6BD4">
        <w:t>resources:</w:t>
      </w:r>
    </w:p>
    <w:p w14:paraId="24FAFDB1" w14:textId="77777777" w:rsidR="006B6BD4" w:rsidRPr="006B6BD4" w:rsidRDefault="006B6BD4" w:rsidP="006B6BD4">
      <w:r w:rsidRPr="006B6BD4">
        <w:t xml:space="preserve">  requests:</w:t>
      </w:r>
    </w:p>
    <w:p w14:paraId="4BE33283" w14:textId="77777777" w:rsidR="006B6BD4" w:rsidRPr="006B6BD4" w:rsidRDefault="006B6BD4" w:rsidP="006B6BD4">
      <w:r w:rsidRPr="006B6BD4">
        <w:t xml:space="preserve">    </w:t>
      </w:r>
      <w:proofErr w:type="spellStart"/>
      <w:r w:rsidRPr="006B6BD4">
        <w:t>cpu</w:t>
      </w:r>
      <w:proofErr w:type="spellEnd"/>
      <w:r w:rsidRPr="006B6BD4">
        <w:t>: "2"</w:t>
      </w:r>
    </w:p>
    <w:p w14:paraId="6615A2CE" w14:textId="77777777" w:rsidR="006B6BD4" w:rsidRPr="006B6BD4" w:rsidRDefault="006B6BD4" w:rsidP="006B6BD4">
      <w:r w:rsidRPr="006B6BD4">
        <w:t xml:space="preserve">    memory: "8Gi"</w:t>
      </w:r>
    </w:p>
    <w:p w14:paraId="6713A328" w14:textId="77777777" w:rsidR="006B6BD4" w:rsidRPr="006B6BD4" w:rsidRDefault="006B6BD4" w:rsidP="006B6BD4">
      <w:r w:rsidRPr="006B6BD4">
        <w:rPr>
          <w:b/>
          <w:bCs/>
        </w:rPr>
        <w:t>Networking and Ingress Setup</w:t>
      </w:r>
      <w:r w:rsidRPr="006B6BD4">
        <w:t xml:space="preserve"> Internal networking is handled via Kubernetes Services. External networking is established via OpenShift Routes or an Istio Service Mesh (using Gateways and </w:t>
      </w:r>
      <w:proofErr w:type="spellStart"/>
      <w:r w:rsidRPr="006B6BD4">
        <w:t>VirtualServices</w:t>
      </w:r>
      <w:proofErr w:type="spellEnd"/>
      <w:r w:rsidRPr="006B6BD4">
        <w:t>).</w:t>
      </w:r>
    </w:p>
    <w:p w14:paraId="77672C11" w14:textId="77777777" w:rsidR="006B6BD4" w:rsidRPr="006B6BD4" w:rsidRDefault="006B6BD4" w:rsidP="006B6BD4">
      <w:r w:rsidRPr="006B6BD4">
        <w:t>6. End-to-End Workflow</w:t>
      </w:r>
    </w:p>
    <w:p w14:paraId="4C126FA7" w14:textId="77777777" w:rsidR="006B6BD4" w:rsidRPr="006B6BD4" w:rsidRDefault="006B6BD4" w:rsidP="006B6BD4">
      <w:r w:rsidRPr="006B6BD4">
        <w:rPr>
          <w:b/>
          <w:bCs/>
        </w:rPr>
        <w:t>1. Kubernetes Cluster Setup</w:t>
      </w:r>
      <w:r w:rsidRPr="006B6BD4">
        <w:t xml:space="preserve"> Prepare the infrastructure by ensuring the OpenShift/Kubernetes cluster, enterprise storage, DNS, and networking are ready. Create isolated namespaces (e.g., cert-manager, </w:t>
      </w:r>
      <w:proofErr w:type="spellStart"/>
      <w:r w:rsidRPr="006B6BD4">
        <w:t>mstr</w:t>
      </w:r>
      <w:proofErr w:type="spellEnd"/>
      <w:r w:rsidRPr="006B6BD4">
        <w:t xml:space="preserve">-operator, </w:t>
      </w:r>
      <w:proofErr w:type="spellStart"/>
      <w:r w:rsidRPr="006B6BD4">
        <w:t>mstr</w:t>
      </w:r>
      <w:proofErr w:type="spellEnd"/>
      <w:r w:rsidRPr="006B6BD4">
        <w:t>-env) and image pull secrets for private registry access. Optionally, install a Certificate Manager (cert-manager) for TLS automation and an Istio Service Mesh.</w:t>
      </w:r>
    </w:p>
    <w:p w14:paraId="7A522DA9" w14:textId="7912F3E0" w:rsidR="006B6BD4" w:rsidRPr="006B6BD4" w:rsidRDefault="006B6BD4" w:rsidP="006B6BD4">
      <w:r w:rsidRPr="006B6BD4">
        <w:rPr>
          <w:b/>
          <w:bCs/>
        </w:rPr>
        <w:t>2. Operator Installation</w:t>
      </w:r>
      <w:r w:rsidRPr="006B6BD4">
        <w:t xml:space="preserve"> Deploy the operator using Helm in non-interactive mode. CRDs must be installed into the cluster prior to starting the operator.</w:t>
      </w:r>
    </w:p>
    <w:p w14:paraId="3DAE9DFC" w14:textId="77777777" w:rsidR="006B6BD4" w:rsidRPr="006B6BD4" w:rsidRDefault="006B6BD4" w:rsidP="006B6BD4">
      <w:r w:rsidRPr="006B6BD4">
        <w:rPr>
          <w:b/>
          <w:bCs/>
        </w:rPr>
        <w:t>3. CR Creation</w:t>
      </w:r>
      <w:r w:rsidRPr="006B6BD4">
        <w:t xml:space="preserve"> Create an </w:t>
      </w:r>
      <w:proofErr w:type="spellStart"/>
      <w:r w:rsidRPr="006B6BD4">
        <w:t>MstrEnvironment</w:t>
      </w:r>
      <w:proofErr w:type="spellEnd"/>
      <w:r w:rsidRPr="006B6BD4">
        <w:t xml:space="preserve"> CR to define the analytics system.</w:t>
      </w:r>
    </w:p>
    <w:p w14:paraId="6EEFB478" w14:textId="77777777" w:rsidR="006B6BD4" w:rsidRPr="006B6BD4" w:rsidRDefault="006B6BD4" w:rsidP="006B6BD4">
      <w:proofErr w:type="spellStart"/>
      <w:r w:rsidRPr="006B6BD4">
        <w:lastRenderedPageBreak/>
        <w:t>apiVersion</w:t>
      </w:r>
      <w:proofErr w:type="spellEnd"/>
      <w:r w:rsidRPr="006B6BD4">
        <w:t>: cloud.microstrategy.com/v1</w:t>
      </w:r>
    </w:p>
    <w:p w14:paraId="7CEB5D52" w14:textId="77777777" w:rsidR="006B6BD4" w:rsidRPr="006B6BD4" w:rsidRDefault="006B6BD4" w:rsidP="006B6BD4">
      <w:r w:rsidRPr="006B6BD4">
        <w:t xml:space="preserve">kind: </w:t>
      </w:r>
      <w:proofErr w:type="spellStart"/>
      <w:r w:rsidRPr="006B6BD4">
        <w:t>MstrEnvironment</w:t>
      </w:r>
      <w:proofErr w:type="spellEnd"/>
    </w:p>
    <w:p w14:paraId="6C680B32" w14:textId="77777777" w:rsidR="006B6BD4" w:rsidRPr="006B6BD4" w:rsidRDefault="006B6BD4" w:rsidP="006B6BD4">
      <w:r w:rsidRPr="006B6BD4">
        <w:t>metadata:</w:t>
      </w:r>
    </w:p>
    <w:p w14:paraId="6E827978" w14:textId="77777777" w:rsidR="006B6BD4" w:rsidRPr="006B6BD4" w:rsidRDefault="006B6BD4" w:rsidP="006B6BD4">
      <w:r w:rsidRPr="006B6BD4">
        <w:t xml:space="preserve">  name: </w:t>
      </w:r>
      <w:proofErr w:type="spellStart"/>
      <w:r w:rsidRPr="006B6BD4">
        <w:t>mstr</w:t>
      </w:r>
      <w:proofErr w:type="spellEnd"/>
      <w:r w:rsidRPr="006B6BD4">
        <w:t>-prod</w:t>
      </w:r>
    </w:p>
    <w:p w14:paraId="1E7AD79F" w14:textId="77777777" w:rsidR="006B6BD4" w:rsidRPr="006B6BD4" w:rsidRDefault="006B6BD4" w:rsidP="006B6BD4">
      <w:r w:rsidRPr="006B6BD4">
        <w:t xml:space="preserve">  namespace: </w:t>
      </w:r>
      <w:proofErr w:type="spellStart"/>
      <w:r w:rsidRPr="006B6BD4">
        <w:t>mstr</w:t>
      </w:r>
      <w:proofErr w:type="spellEnd"/>
      <w:r w:rsidRPr="006B6BD4">
        <w:t>-prod</w:t>
      </w:r>
    </w:p>
    <w:p w14:paraId="69AEBF4F" w14:textId="77777777" w:rsidR="006B6BD4" w:rsidRPr="006B6BD4" w:rsidRDefault="006B6BD4" w:rsidP="006B6BD4">
      <w:r w:rsidRPr="006B6BD4">
        <w:t>spec:</w:t>
      </w:r>
    </w:p>
    <w:p w14:paraId="6FEE1DA7" w14:textId="77777777" w:rsidR="006B6BD4" w:rsidRPr="006B6BD4" w:rsidRDefault="006B6BD4" w:rsidP="006B6BD4">
      <w:r w:rsidRPr="006B6BD4">
        <w:t xml:space="preserve">  </w:t>
      </w:r>
      <w:proofErr w:type="spellStart"/>
      <w:r w:rsidRPr="006B6BD4">
        <w:t>environmentType</w:t>
      </w:r>
      <w:proofErr w:type="spellEnd"/>
      <w:r w:rsidRPr="006B6BD4">
        <w:t>: sandbox</w:t>
      </w:r>
    </w:p>
    <w:p w14:paraId="1CF47559" w14:textId="77777777" w:rsidR="006B6BD4" w:rsidRPr="006B6BD4" w:rsidRDefault="006B6BD4" w:rsidP="006B6BD4">
      <w:r w:rsidRPr="006B6BD4">
        <w:t xml:space="preserve">  </w:t>
      </w:r>
      <w:proofErr w:type="spellStart"/>
      <w:r w:rsidRPr="006B6BD4">
        <w:t>microstrategyVersion</w:t>
      </w:r>
      <w:proofErr w:type="spellEnd"/>
      <w:r w:rsidRPr="006B6BD4">
        <w:t>: "25.10"</w:t>
      </w:r>
    </w:p>
    <w:p w14:paraId="69469D8A" w14:textId="77777777" w:rsidR="006B6BD4" w:rsidRPr="006B6BD4" w:rsidRDefault="006B6BD4" w:rsidP="006B6BD4">
      <w:r w:rsidRPr="006B6BD4">
        <w:t xml:space="preserve">  </w:t>
      </w:r>
      <w:proofErr w:type="spellStart"/>
      <w:r w:rsidRPr="006B6BD4">
        <w:t>dnsEntry</w:t>
      </w:r>
      <w:proofErr w:type="spellEnd"/>
      <w:r w:rsidRPr="006B6BD4">
        <w:t>: app.domain.com</w:t>
      </w:r>
    </w:p>
    <w:p w14:paraId="5516988A" w14:textId="77777777" w:rsidR="006B6BD4" w:rsidRPr="006B6BD4" w:rsidRDefault="006B6BD4" w:rsidP="006B6BD4">
      <w:r w:rsidRPr="006B6BD4">
        <w:t xml:space="preserve">  </w:t>
      </w:r>
      <w:proofErr w:type="spellStart"/>
      <w:r w:rsidRPr="006B6BD4">
        <w:t>licenseKey</w:t>
      </w:r>
      <w:proofErr w:type="spellEnd"/>
      <w:r w:rsidRPr="006B6BD4">
        <w:t>: "&lt;LICENSE_KEY&gt;"</w:t>
      </w:r>
    </w:p>
    <w:p w14:paraId="5EE6C511" w14:textId="77777777" w:rsidR="006B6BD4" w:rsidRPr="006B6BD4" w:rsidRDefault="006B6BD4" w:rsidP="006B6BD4">
      <w:r w:rsidRPr="006B6BD4">
        <w:rPr>
          <w:b/>
          <w:bCs/>
        </w:rPr>
        <w:t>4. Reconciliation Process</w:t>
      </w:r>
      <w:r w:rsidRPr="006B6BD4">
        <w:t xml:space="preserve"> The operator detects the new CR, validates the configuration inputs, and executes internal deployment logic to match the desired state.</w:t>
      </w:r>
    </w:p>
    <w:p w14:paraId="5622FC55" w14:textId="77777777" w:rsidR="006B6BD4" w:rsidRPr="006B6BD4" w:rsidRDefault="006B6BD4" w:rsidP="006B6BD4">
      <w:r w:rsidRPr="006B6BD4">
        <w:rPr>
          <w:b/>
          <w:bCs/>
        </w:rPr>
        <w:t>5. Service Deployment</w:t>
      </w:r>
      <w:r w:rsidRPr="006B6BD4">
        <w:t xml:space="preserve"> The operator provisions Pods for the Intelligence Server, Library, Web, and supporting services, along with necessary Services and PVCs.</w:t>
      </w:r>
    </w:p>
    <w:p w14:paraId="17373CF2" w14:textId="77777777" w:rsidR="006B6BD4" w:rsidRPr="006B6BD4" w:rsidRDefault="006B6BD4" w:rsidP="006B6BD4">
      <w:r w:rsidRPr="006B6BD4">
        <w:rPr>
          <w:b/>
          <w:bCs/>
        </w:rPr>
        <w:t>6. Initialization and Configuration</w:t>
      </w:r>
      <w:r w:rsidRPr="006B6BD4">
        <w:t xml:space="preserve"> Services start sequentially, initializing volumes, validating licenses, setting up internal DBs, and resolving dependencies.</w:t>
      </w:r>
    </w:p>
    <w:p w14:paraId="3D29D141" w14:textId="77777777" w:rsidR="006B6BD4" w:rsidRPr="006B6BD4" w:rsidRDefault="006B6BD4" w:rsidP="006B6BD4">
      <w:r w:rsidRPr="006B6BD4">
        <w:rPr>
          <w:b/>
          <w:bCs/>
        </w:rPr>
        <w:t>7. Exposure to Users</w:t>
      </w:r>
      <w:r w:rsidRPr="006B6BD4">
        <w:t xml:space="preserve"> Routes or Istio Gateways are created automatically to expose the API and Web UI externally, secured by TLS certificates provided by the certificate manager. Admins retrieve the secure API key from a Kubernetes Secret to perform management actions.</w:t>
      </w:r>
    </w:p>
    <w:p w14:paraId="084D6D14" w14:textId="77777777" w:rsidR="006B6BD4" w:rsidRPr="006B6BD4" w:rsidRDefault="006B6BD4" w:rsidP="006B6BD4">
      <w:r w:rsidRPr="006B6BD4">
        <w:rPr>
          <w:b/>
          <w:bCs/>
        </w:rPr>
        <w:t>8. Scaling and Updates</w:t>
      </w:r>
      <w:r w:rsidRPr="006B6BD4">
        <w:t xml:space="preserve"> Scaling can be done dynamically (e.g., </w:t>
      </w:r>
      <w:proofErr w:type="spellStart"/>
      <w:r w:rsidRPr="006B6BD4">
        <w:t>oc</w:t>
      </w:r>
      <w:proofErr w:type="spellEnd"/>
      <w:r w:rsidRPr="006B6BD4">
        <w:t xml:space="preserve"> scale deployment) or managed through the CR. Upgrades are executed by updating image tags in the CR, prompting the operator to perform a rolling update.</w:t>
      </w:r>
    </w:p>
    <w:p w14:paraId="1D5E502A" w14:textId="77777777" w:rsidR="006B6BD4" w:rsidRPr="006B6BD4" w:rsidRDefault="006B6BD4" w:rsidP="006B6BD4">
      <w:r w:rsidRPr="006B6BD4">
        <w:rPr>
          <w:b/>
          <w:bCs/>
        </w:rPr>
        <w:t>9. Monitoring and Maintenance</w:t>
      </w:r>
      <w:r w:rsidRPr="006B6BD4">
        <w:t xml:space="preserve"> Observability is integrated by exporting metrics to Prometheus/Grafana, while pod health is monitored via standard Kubernetes probes. Backups are performed using tools like </w:t>
      </w:r>
      <w:proofErr w:type="spellStart"/>
      <w:r w:rsidRPr="006B6BD4">
        <w:t>Velero</w:t>
      </w:r>
      <w:proofErr w:type="spellEnd"/>
      <w:r w:rsidRPr="006B6BD4">
        <w:t xml:space="preserve"> and native storage snapshots.</w:t>
      </w:r>
    </w:p>
    <w:p w14:paraId="46362211" w14:textId="77777777" w:rsidR="006B6BD4" w:rsidRPr="006B6BD4" w:rsidRDefault="006B6BD4" w:rsidP="006B6BD4">
      <w:r w:rsidRPr="006B6BD4">
        <w:t>7. Configuration Parameters</w:t>
      </w:r>
    </w:p>
    <w:p w14:paraId="25C5B29B" w14:textId="77777777" w:rsidR="006B6BD4" w:rsidRPr="006B6BD4" w:rsidRDefault="006B6BD4" w:rsidP="006B6BD4">
      <w:r w:rsidRPr="006B6BD4">
        <w:rPr>
          <w:b/>
          <w:bCs/>
        </w:rPr>
        <w:t>Key Fields in CR YAML</w:t>
      </w:r>
      <w:r w:rsidRPr="006B6BD4">
        <w:t xml:space="preserve"> The spec section controls all parameters:</w:t>
      </w:r>
    </w:p>
    <w:p w14:paraId="2C61A247" w14:textId="77777777" w:rsidR="006B6BD4" w:rsidRPr="006B6BD4" w:rsidRDefault="006B6BD4" w:rsidP="006B6BD4">
      <w:pPr>
        <w:numPr>
          <w:ilvl w:val="0"/>
          <w:numId w:val="5"/>
        </w:numPr>
      </w:pPr>
      <w:proofErr w:type="spellStart"/>
      <w:r w:rsidRPr="006B6BD4">
        <w:t>environmentType</w:t>
      </w:r>
      <w:proofErr w:type="spellEnd"/>
      <w:r w:rsidRPr="006B6BD4">
        <w:t>: Defines the deployment scope (e.g., sandbox, enterprise).</w:t>
      </w:r>
    </w:p>
    <w:p w14:paraId="389B3996" w14:textId="77777777" w:rsidR="006B6BD4" w:rsidRPr="006B6BD4" w:rsidRDefault="006B6BD4" w:rsidP="006B6BD4">
      <w:pPr>
        <w:numPr>
          <w:ilvl w:val="0"/>
          <w:numId w:val="5"/>
        </w:numPr>
      </w:pPr>
      <w:proofErr w:type="spellStart"/>
      <w:r w:rsidRPr="006B6BD4">
        <w:t>microstrategyVersion</w:t>
      </w:r>
      <w:proofErr w:type="spellEnd"/>
      <w:r w:rsidRPr="006B6BD4">
        <w:t>: Identifies the software release version.</w:t>
      </w:r>
    </w:p>
    <w:p w14:paraId="35FD0762" w14:textId="77777777" w:rsidR="006B6BD4" w:rsidRPr="006B6BD4" w:rsidRDefault="006B6BD4" w:rsidP="006B6BD4">
      <w:pPr>
        <w:numPr>
          <w:ilvl w:val="0"/>
          <w:numId w:val="5"/>
        </w:numPr>
      </w:pPr>
      <w:proofErr w:type="spellStart"/>
      <w:r w:rsidRPr="006B6BD4">
        <w:t>dnsEntry</w:t>
      </w:r>
      <w:proofErr w:type="spellEnd"/>
      <w:r w:rsidRPr="006B6BD4">
        <w:t>: Defines the route/ingress hostname.</w:t>
      </w:r>
    </w:p>
    <w:p w14:paraId="471116EA" w14:textId="77777777" w:rsidR="006B6BD4" w:rsidRPr="006B6BD4" w:rsidRDefault="006B6BD4" w:rsidP="006B6BD4">
      <w:pPr>
        <w:numPr>
          <w:ilvl w:val="0"/>
          <w:numId w:val="5"/>
        </w:numPr>
      </w:pPr>
      <w:proofErr w:type="spellStart"/>
      <w:r w:rsidRPr="006B6BD4">
        <w:t>imageRegistry</w:t>
      </w:r>
      <w:proofErr w:type="spellEnd"/>
      <w:r w:rsidRPr="006B6BD4">
        <w:t>: Directs the operator to internal/private container registries.</w:t>
      </w:r>
    </w:p>
    <w:p w14:paraId="75A8E074" w14:textId="77777777" w:rsidR="006B6BD4" w:rsidRPr="006B6BD4" w:rsidRDefault="006B6BD4" w:rsidP="006B6BD4">
      <w:pPr>
        <w:numPr>
          <w:ilvl w:val="0"/>
          <w:numId w:val="5"/>
        </w:numPr>
      </w:pPr>
      <w:proofErr w:type="spellStart"/>
      <w:r w:rsidRPr="006B6BD4">
        <w:t>persistentVolumeClaimSpecOverrides</w:t>
      </w:r>
      <w:proofErr w:type="spellEnd"/>
      <w:r w:rsidRPr="006B6BD4">
        <w:t xml:space="preserve">: Allows overriding the </w:t>
      </w:r>
      <w:proofErr w:type="spellStart"/>
      <w:r w:rsidRPr="006B6BD4">
        <w:t>storageClassName</w:t>
      </w:r>
      <w:proofErr w:type="spellEnd"/>
      <w:r w:rsidRPr="006B6BD4">
        <w:t xml:space="preserve"> and storage sizes.</w:t>
      </w:r>
    </w:p>
    <w:p w14:paraId="6AB7ACFC" w14:textId="77777777" w:rsidR="006B6BD4" w:rsidRPr="006B6BD4" w:rsidRDefault="006B6BD4" w:rsidP="006B6BD4">
      <w:r w:rsidRPr="006B6BD4">
        <w:t>8. Security</w:t>
      </w:r>
    </w:p>
    <w:p w14:paraId="237440A6" w14:textId="77777777" w:rsidR="006B6BD4" w:rsidRPr="006B6BD4" w:rsidRDefault="006B6BD4" w:rsidP="006B6BD4">
      <w:r w:rsidRPr="006B6BD4">
        <w:rPr>
          <w:b/>
          <w:bCs/>
        </w:rPr>
        <w:lastRenderedPageBreak/>
        <w:t>Secrets Management</w:t>
      </w:r>
      <w:r w:rsidRPr="006B6BD4">
        <w:t xml:space="preserve"> MicroStrategy heavily relies on Kubernetes Secrets to store private Docker registry credentials (</w:t>
      </w:r>
      <w:proofErr w:type="spellStart"/>
      <w:r w:rsidRPr="006B6BD4">
        <w:t>imagePullSecrets</w:t>
      </w:r>
      <w:proofErr w:type="spellEnd"/>
      <w:r w:rsidRPr="006B6BD4">
        <w:t>), database passwords, and vendor license keys.</w:t>
      </w:r>
    </w:p>
    <w:p w14:paraId="3DE0F8DF" w14:textId="77777777" w:rsidR="006B6BD4" w:rsidRPr="006B6BD4" w:rsidRDefault="006B6BD4" w:rsidP="006B6BD4">
      <w:r w:rsidRPr="006B6BD4">
        <w:rPr>
          <w:b/>
          <w:bCs/>
        </w:rPr>
        <w:t>TLS/HTTPS</w:t>
      </w:r>
      <w:r w:rsidRPr="006B6BD4">
        <w:t xml:space="preserve"> All external access should be HTTPS. OpenShift routes handle TLS termination (Passthrough is recommended when using Istio, otherwise Re-encrypt).</w:t>
      </w:r>
    </w:p>
    <w:p w14:paraId="7AB8514F" w14:textId="77777777" w:rsidR="006B6BD4" w:rsidRPr="006B6BD4" w:rsidRDefault="006B6BD4" w:rsidP="006B6BD4">
      <w:r w:rsidRPr="006B6BD4">
        <w:rPr>
          <w:b/>
          <w:bCs/>
        </w:rPr>
        <w:t>RBAC Roles</w:t>
      </w:r>
      <w:r w:rsidRPr="006B6BD4">
        <w:t xml:space="preserve"> The operator relies on a dedicated </w:t>
      </w:r>
      <w:proofErr w:type="spellStart"/>
      <w:r w:rsidRPr="006B6BD4">
        <w:t>ServiceAccount</w:t>
      </w:r>
      <w:proofErr w:type="spellEnd"/>
      <w:r w:rsidRPr="006B6BD4">
        <w:t xml:space="preserve"> bundled with specific Roles and </w:t>
      </w:r>
      <w:proofErr w:type="spellStart"/>
      <w:r w:rsidRPr="006B6BD4">
        <w:t>RoleBindings</w:t>
      </w:r>
      <w:proofErr w:type="spellEnd"/>
      <w:r w:rsidRPr="006B6BD4">
        <w:t xml:space="preserve"> to grant scoped CRUD permissions exclusively over MicroStrategy resources, ensuring least-privilege security.</w:t>
      </w:r>
    </w:p>
    <w:p w14:paraId="0C143CC9" w14:textId="77777777" w:rsidR="006B6BD4" w:rsidRPr="006B6BD4" w:rsidRDefault="006B6BD4" w:rsidP="006B6BD4">
      <w:r w:rsidRPr="006B6BD4">
        <w:t>9. Error Handling &amp; Recovery</w:t>
      </w:r>
    </w:p>
    <w:p w14:paraId="7F6CB2DF" w14:textId="77777777" w:rsidR="006B6BD4" w:rsidRPr="006B6BD4" w:rsidRDefault="006B6BD4" w:rsidP="006B6BD4">
      <w:r w:rsidRPr="006B6BD4">
        <w:rPr>
          <w:b/>
          <w:bCs/>
        </w:rPr>
        <w:t>Failure Scenarios</w:t>
      </w:r>
    </w:p>
    <w:p w14:paraId="08171CA3" w14:textId="77777777" w:rsidR="006B6BD4" w:rsidRPr="006B6BD4" w:rsidRDefault="006B6BD4" w:rsidP="006B6BD4">
      <w:pPr>
        <w:numPr>
          <w:ilvl w:val="0"/>
          <w:numId w:val="6"/>
        </w:numPr>
      </w:pPr>
      <w:r w:rsidRPr="006B6BD4">
        <w:rPr>
          <w:b/>
          <w:bCs/>
        </w:rPr>
        <w:t>Pod Pending</w:t>
      </w:r>
      <w:r w:rsidRPr="006B6BD4">
        <w:t>: Usually indicates a resource starvation or missing PVC issue.</w:t>
      </w:r>
    </w:p>
    <w:p w14:paraId="79B243FF" w14:textId="77777777" w:rsidR="006B6BD4" w:rsidRPr="006B6BD4" w:rsidRDefault="006B6BD4" w:rsidP="006B6BD4">
      <w:pPr>
        <w:numPr>
          <w:ilvl w:val="0"/>
          <w:numId w:val="6"/>
        </w:numPr>
      </w:pPr>
      <w:r w:rsidRPr="006B6BD4">
        <w:rPr>
          <w:b/>
          <w:bCs/>
        </w:rPr>
        <w:t>SCC Errors</w:t>
      </w:r>
      <w:r w:rsidRPr="006B6BD4">
        <w:t>: Indicates OpenShift Security Context Constraints are blocking pod initialization, usually related to running as root.</w:t>
      </w:r>
    </w:p>
    <w:p w14:paraId="46E782F9" w14:textId="77777777" w:rsidR="006B6BD4" w:rsidRPr="006B6BD4" w:rsidRDefault="006B6BD4" w:rsidP="006B6BD4">
      <w:pPr>
        <w:numPr>
          <w:ilvl w:val="0"/>
          <w:numId w:val="6"/>
        </w:numPr>
      </w:pPr>
      <w:r w:rsidRPr="006B6BD4">
        <w:rPr>
          <w:b/>
          <w:bCs/>
        </w:rPr>
        <w:t>Route 503</w:t>
      </w:r>
      <w:r w:rsidRPr="006B6BD4">
        <w:t>: Suggests an Istio ingress or network misconfiguration, or that backend pods are not yet ready.</w:t>
      </w:r>
    </w:p>
    <w:p w14:paraId="3A9875AE" w14:textId="77777777" w:rsidR="006B6BD4" w:rsidRPr="006B6BD4" w:rsidRDefault="006B6BD4" w:rsidP="006B6BD4">
      <w:r w:rsidRPr="006B6BD4">
        <w:rPr>
          <w:b/>
          <w:bCs/>
        </w:rPr>
        <w:t>Retry Mechanisms</w:t>
      </w:r>
      <w:r w:rsidRPr="006B6BD4">
        <w:t xml:space="preserve"> The operator controller utilizes auto-retries during its reconciliation loop. If an operation fails, the operator will continuously attempt to resolve the delta between desired and actual state.</w:t>
      </w:r>
    </w:p>
    <w:p w14:paraId="05E76B48" w14:textId="77777777" w:rsidR="006B6BD4" w:rsidRPr="006B6BD4" w:rsidRDefault="006B6BD4" w:rsidP="006B6BD4">
      <w:r w:rsidRPr="006B6BD4">
        <w:rPr>
          <w:b/>
          <w:bCs/>
        </w:rPr>
        <w:t>Pod Recovery</w:t>
      </w:r>
      <w:r w:rsidRPr="006B6BD4">
        <w:t xml:space="preserve"> Kubernetes natively handles restarting failed pods. Manual recovery can be forced by deleting a struggling pod (</w:t>
      </w:r>
      <w:proofErr w:type="spellStart"/>
      <w:r w:rsidRPr="006B6BD4">
        <w:t>oc</w:t>
      </w:r>
      <w:proofErr w:type="spellEnd"/>
      <w:r w:rsidRPr="006B6BD4">
        <w:t xml:space="preserve"> delete pod &lt;pod-name&gt;), allowing the replica set and operator to spin up a fresh instance.</w:t>
      </w:r>
    </w:p>
    <w:p w14:paraId="1A0B5F2F" w14:textId="77777777" w:rsidR="006B6BD4" w:rsidRPr="006B6BD4" w:rsidRDefault="006B6BD4" w:rsidP="006B6BD4">
      <w:r w:rsidRPr="006B6BD4">
        <w:t>10. Best Practices</w:t>
      </w:r>
    </w:p>
    <w:p w14:paraId="414F4020" w14:textId="77777777" w:rsidR="006B6BD4" w:rsidRPr="006B6BD4" w:rsidRDefault="006B6BD4" w:rsidP="006B6BD4">
      <w:r w:rsidRPr="006B6BD4">
        <w:rPr>
          <w:b/>
          <w:bCs/>
        </w:rPr>
        <w:t>Environment Separation</w:t>
      </w:r>
      <w:r w:rsidRPr="006B6BD4">
        <w:t xml:space="preserve"> Ensure isolation by creating separate namespaces (projects) for the operator, service mesh, certificates, and individual MicroStrategy environments.</w:t>
      </w:r>
    </w:p>
    <w:p w14:paraId="6C7CB780" w14:textId="77777777" w:rsidR="006B6BD4" w:rsidRPr="006B6BD4" w:rsidRDefault="006B6BD4" w:rsidP="006B6BD4">
      <w:r w:rsidRPr="006B6BD4">
        <w:rPr>
          <w:b/>
          <w:bCs/>
        </w:rPr>
        <w:t>Image Hardening &amp; Upgrades</w:t>
      </w:r>
      <w:r w:rsidRPr="006B6BD4">
        <w:t xml:space="preserve"> Before deploying to an enterprise registry, pull vendor images, apply OS-level security patches via a custom </w:t>
      </w:r>
      <w:proofErr w:type="spellStart"/>
      <w:r w:rsidRPr="006B6BD4">
        <w:t>Dockerfile</w:t>
      </w:r>
      <w:proofErr w:type="spellEnd"/>
      <w:r w:rsidRPr="006B6BD4">
        <w:t xml:space="preserve"> using the native package manager (e.g., </w:t>
      </w:r>
      <w:proofErr w:type="spellStart"/>
      <w:r w:rsidRPr="006B6BD4">
        <w:t>microdnf</w:t>
      </w:r>
      <w:proofErr w:type="spellEnd"/>
      <w:r w:rsidRPr="006B6BD4">
        <w:t xml:space="preserve"> update -y), enforce non-root execution (USER 1001), and re-scan the images. When upgrading CRDs, always upgrade the CRD schema </w:t>
      </w:r>
      <w:r w:rsidRPr="006B6BD4">
        <w:rPr>
          <w:i/>
          <w:iCs/>
        </w:rPr>
        <w:t>before</w:t>
      </w:r>
      <w:r w:rsidRPr="006B6BD4">
        <w:t xml:space="preserve"> upgrading the Operator Helm chart to prevent reconciliation failures.</w:t>
      </w:r>
    </w:p>
    <w:p w14:paraId="079891CE" w14:textId="77777777" w:rsidR="006B6BD4" w:rsidRPr="006B6BD4" w:rsidRDefault="006B6BD4" w:rsidP="006B6BD4">
      <w:r w:rsidRPr="006B6BD4">
        <w:t>11. Conclusion</w:t>
      </w:r>
    </w:p>
    <w:p w14:paraId="031E3952" w14:textId="77777777" w:rsidR="006B6BD4" w:rsidRPr="006B6BD4" w:rsidRDefault="006B6BD4" w:rsidP="006B6BD4">
      <w:r w:rsidRPr="006B6BD4">
        <w:t>The MicroStrategy Operator provides a highly secure, automated, and cloud-native methodology for deploying enterprise analytics. By bridging the gap between Kubernetes-native lifecycle management and MicroStrategy's platform needs, it ensures declarative deployments, high availability, seamless integration with service meshes, and an enterprise-grade standard for scalability and observability.</w:t>
      </w:r>
    </w:p>
    <w:sectPr w:rsidR="006B6BD4" w:rsidRPr="006B6B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65FBD"/>
    <w:multiLevelType w:val="multilevel"/>
    <w:tmpl w:val="4632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F28BE"/>
    <w:multiLevelType w:val="multilevel"/>
    <w:tmpl w:val="8780D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2B60B7"/>
    <w:multiLevelType w:val="multilevel"/>
    <w:tmpl w:val="34C6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7A578B"/>
    <w:multiLevelType w:val="multilevel"/>
    <w:tmpl w:val="8116C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F1352D"/>
    <w:multiLevelType w:val="multilevel"/>
    <w:tmpl w:val="67A22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B23C70"/>
    <w:multiLevelType w:val="multilevel"/>
    <w:tmpl w:val="AC502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9C0742"/>
    <w:multiLevelType w:val="multilevel"/>
    <w:tmpl w:val="25A21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C63C1A"/>
    <w:multiLevelType w:val="multilevel"/>
    <w:tmpl w:val="EE04D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43130B0"/>
    <w:multiLevelType w:val="multilevel"/>
    <w:tmpl w:val="3A66B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FB4E92"/>
    <w:multiLevelType w:val="multilevel"/>
    <w:tmpl w:val="1AAA6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C47910"/>
    <w:multiLevelType w:val="multilevel"/>
    <w:tmpl w:val="5336B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3F6EBE"/>
    <w:multiLevelType w:val="multilevel"/>
    <w:tmpl w:val="7494C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C455983"/>
    <w:multiLevelType w:val="multilevel"/>
    <w:tmpl w:val="82EE4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34F6BDE"/>
    <w:multiLevelType w:val="multilevel"/>
    <w:tmpl w:val="F55E9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67371A7"/>
    <w:multiLevelType w:val="multilevel"/>
    <w:tmpl w:val="DDA0E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DA1420"/>
    <w:multiLevelType w:val="multilevel"/>
    <w:tmpl w:val="6C16F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8809806">
    <w:abstractNumId w:val="15"/>
  </w:num>
  <w:num w:numId="2" w16cid:durableId="1452751415">
    <w:abstractNumId w:val="13"/>
  </w:num>
  <w:num w:numId="3" w16cid:durableId="1908346657">
    <w:abstractNumId w:val="3"/>
  </w:num>
  <w:num w:numId="4" w16cid:durableId="1675299235">
    <w:abstractNumId w:val="2"/>
  </w:num>
  <w:num w:numId="5" w16cid:durableId="194317377">
    <w:abstractNumId w:val="10"/>
  </w:num>
  <w:num w:numId="6" w16cid:durableId="884412128">
    <w:abstractNumId w:val="9"/>
  </w:num>
  <w:num w:numId="7" w16cid:durableId="42801200">
    <w:abstractNumId w:val="8"/>
  </w:num>
  <w:num w:numId="8" w16cid:durableId="1798450517">
    <w:abstractNumId w:val="4"/>
  </w:num>
  <w:num w:numId="9" w16cid:durableId="952134934">
    <w:abstractNumId w:val="7"/>
  </w:num>
  <w:num w:numId="10" w16cid:durableId="1568801756">
    <w:abstractNumId w:val="5"/>
  </w:num>
  <w:num w:numId="11" w16cid:durableId="1473137235">
    <w:abstractNumId w:val="1"/>
  </w:num>
  <w:num w:numId="12" w16cid:durableId="1727139602">
    <w:abstractNumId w:val="0"/>
  </w:num>
  <w:num w:numId="13" w16cid:durableId="1543060111">
    <w:abstractNumId w:val="11"/>
  </w:num>
  <w:num w:numId="14" w16cid:durableId="198516093">
    <w:abstractNumId w:val="6"/>
  </w:num>
  <w:num w:numId="15" w16cid:durableId="80152797">
    <w:abstractNumId w:val="12"/>
  </w:num>
  <w:num w:numId="16" w16cid:durableId="87238073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BD4"/>
    <w:rsid w:val="00211CC1"/>
    <w:rsid w:val="003C546A"/>
    <w:rsid w:val="004067DC"/>
    <w:rsid w:val="00684D7E"/>
    <w:rsid w:val="006871D9"/>
    <w:rsid w:val="006B2220"/>
    <w:rsid w:val="006B6BD4"/>
    <w:rsid w:val="0085535D"/>
    <w:rsid w:val="00AC22B8"/>
    <w:rsid w:val="00C745CF"/>
    <w:rsid w:val="00C75FA7"/>
    <w:rsid w:val="00E228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5305F"/>
  <w15:chartTrackingRefBased/>
  <w15:docId w15:val="{F790D7E8-C525-4498-B81B-542777847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6B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6B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6B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6B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6B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6B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6B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6B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6B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6B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6B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6B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6B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6B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6B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6B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6B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6BD4"/>
    <w:rPr>
      <w:rFonts w:eastAsiaTheme="majorEastAsia" w:cstheme="majorBidi"/>
      <w:color w:val="272727" w:themeColor="text1" w:themeTint="D8"/>
    </w:rPr>
  </w:style>
  <w:style w:type="paragraph" w:styleId="Title">
    <w:name w:val="Title"/>
    <w:basedOn w:val="Normal"/>
    <w:next w:val="Normal"/>
    <w:link w:val="TitleChar"/>
    <w:uiPriority w:val="10"/>
    <w:qFormat/>
    <w:rsid w:val="006B6B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6B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6B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6B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6BD4"/>
    <w:pPr>
      <w:spacing w:before="160"/>
      <w:jc w:val="center"/>
    </w:pPr>
    <w:rPr>
      <w:i/>
      <w:iCs/>
      <w:color w:val="404040" w:themeColor="text1" w:themeTint="BF"/>
    </w:rPr>
  </w:style>
  <w:style w:type="character" w:customStyle="1" w:styleId="QuoteChar">
    <w:name w:val="Quote Char"/>
    <w:basedOn w:val="DefaultParagraphFont"/>
    <w:link w:val="Quote"/>
    <w:uiPriority w:val="29"/>
    <w:rsid w:val="006B6BD4"/>
    <w:rPr>
      <w:i/>
      <w:iCs/>
      <w:color w:val="404040" w:themeColor="text1" w:themeTint="BF"/>
    </w:rPr>
  </w:style>
  <w:style w:type="paragraph" w:styleId="ListParagraph">
    <w:name w:val="List Paragraph"/>
    <w:basedOn w:val="Normal"/>
    <w:uiPriority w:val="34"/>
    <w:qFormat/>
    <w:rsid w:val="006B6BD4"/>
    <w:pPr>
      <w:ind w:left="720"/>
      <w:contextualSpacing/>
    </w:pPr>
  </w:style>
  <w:style w:type="character" w:styleId="IntenseEmphasis">
    <w:name w:val="Intense Emphasis"/>
    <w:basedOn w:val="DefaultParagraphFont"/>
    <w:uiPriority w:val="21"/>
    <w:qFormat/>
    <w:rsid w:val="006B6BD4"/>
    <w:rPr>
      <w:i/>
      <w:iCs/>
      <w:color w:val="2F5496" w:themeColor="accent1" w:themeShade="BF"/>
    </w:rPr>
  </w:style>
  <w:style w:type="paragraph" w:styleId="IntenseQuote">
    <w:name w:val="Intense Quote"/>
    <w:basedOn w:val="Normal"/>
    <w:next w:val="Normal"/>
    <w:link w:val="IntenseQuoteChar"/>
    <w:uiPriority w:val="30"/>
    <w:qFormat/>
    <w:rsid w:val="006B6B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6BD4"/>
    <w:rPr>
      <w:i/>
      <w:iCs/>
      <w:color w:val="2F5496" w:themeColor="accent1" w:themeShade="BF"/>
    </w:rPr>
  </w:style>
  <w:style w:type="character" w:styleId="IntenseReference">
    <w:name w:val="Intense Reference"/>
    <w:basedOn w:val="DefaultParagraphFont"/>
    <w:uiPriority w:val="32"/>
    <w:qFormat/>
    <w:rsid w:val="006B6BD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149</TotalTime>
  <Pages>4</Pages>
  <Words>1392</Words>
  <Characters>7937</Characters>
  <Application>Microsoft Office Word</Application>
  <DocSecurity>0</DocSecurity>
  <Lines>66</Lines>
  <Paragraphs>18</Paragraphs>
  <ScaleCrop>false</ScaleCrop>
  <Company/>
  <LinksUpToDate>false</LinksUpToDate>
  <CharactersWithSpaces>9311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Chitra R</dc:creator>
  <cp:keywords/>
  <dc:description/>
  <cp:lastModifiedBy>Chitra R</cp:lastModifiedBy>
  <cp:revision>13</cp:revision>
  <dcterms:created xsi:type="dcterms:W3CDTF">2026-04-16T10:10:00Z</dcterms:created>
  <dcterms:modified xsi:type="dcterms:W3CDTF">2026-04-16T12:39:00Z</dcterms:modified>
</cp:coreProperties>
</file>