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cutm_logo.png"/>
                    <pic:cNvPicPr/>
                  </pic:nvPicPr>
                  <pic:blipFill>
                    <a:blip r:embed="rId10"/>
                    <a:stretch>
                      <a:fillRect/>
                    </a:stretch>
                  </pic:blipFill>
                  <pic:spPr>
                    <a:xfrm>
                      <a:off x="0" y="0"/>
                      <a:ext cx="1645920" cy="1645920"/>
                    </a:xfrm>
                    <a:prstGeom prst="rect"/>
                  </pic:spPr>
                </pic:pic>
              </a:graphicData>
            </a:graphic>
          </wp:inline>
        </w:drawing>
      </w:r>
    </w:p>
    <w:p>
      <w:pPr>
        <w:spacing w:before="80" w:after="80"/>
        <w:jc w:val="center"/>
      </w:pPr>
      <w:r>
        <w:rPr>
          <w:rFonts w:ascii="Calibri" w:hAnsi="Calibri"/>
          <w:b/>
          <w:i w:val="0"/>
          <w:color w:val="102B4E"/>
          <w:sz w:val="34"/>
        </w:rPr>
        <w:t>CENTURION UNIVERSITY OF TECHNOLOGY AND MANAGEMENT</w:t>
      </w:r>
    </w:p>
    <w:p>
      <w:pPr>
        <w:spacing w:after="400"/>
        <w:jc w:val="center"/>
      </w:pPr>
      <w:r>
        <w:rPr>
          <w:rFonts w:ascii="Calibri" w:hAnsi="Calibri"/>
          <w:b/>
          <w:i w:val="0"/>
          <w:color w:val="D4AF37"/>
          <w:sz w:val="21"/>
        </w:rPr>
        <w:t>ज्ञानस्य संयोगाय वितरणाय च  |  CONNECTING THROUGH KNOWLEDGE</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102B4E"/>
              <w:bottom w:val="none"/>
              <w:right w:val="none"/>
            </w:tcBorders>
          </w:tcPr>
          <w:p>
            <w:pPr>
              <w:spacing w:before="80" w:after="40"/>
            </w:pPr>
            <w:r>
              <w:rPr>
                <w:rFonts w:ascii="Calibri" w:hAnsi="Calibri"/>
                <w:b/>
                <w:i w:val="0"/>
                <w:color w:val="102B4E"/>
                <w:sz w:val="22"/>
              </w:rPr>
              <w:t>MAJOR ENGINEERING PROJECT REPORT</w:t>
              <w:br/>
            </w:r>
            <w:r>
              <w:rPr>
                <w:rFonts w:ascii="Calibri" w:hAnsi="Calibri"/>
                <w:b w:val="0"/>
                <w:i/>
                <w:color w:val="17283D"/>
                <w:sz w:val="21"/>
              </w:rPr>
              <w:t>A Comprehensive Full-Stack Academic Project on AI-Assisted University Web Systems, Admissions Intake Pipelines &amp; Administrative Decision Support.</w:t>
            </w:r>
          </w:p>
        </w:tc>
      </w:tr>
    </w:tbl>
    <w:p>
      <w:pPr>
        <w:spacing w:before="0" w:after="80"/>
      </w:pPr>
    </w:p>
    <w:p>
      <w:pPr>
        <w:spacing w:before="80" w:after="160"/>
        <w:jc w:val="center"/>
      </w:pPr>
      <w:r>
        <w:rPr>
          <w:rFonts w:ascii="Calibri" w:hAnsi="Calibri"/>
          <w:b/>
          <w:i w:val="0"/>
          <w:color w:val="102B4E"/>
          <w:sz w:val="42"/>
        </w:rPr>
        <w:t>AI-ENABLED UNIVERSITY WEB PORTAL &amp;</w:t>
        <w:br/>
        <w:t>ADMISSIONS MANAGEMENT SYSTEM</w:t>
      </w:r>
    </w:p>
    <w:p>
      <w:pPr>
        <w:spacing w:after="560"/>
        <w:jc w:val="center"/>
      </w:pPr>
      <w:r>
        <w:rPr>
          <w:rFonts w:ascii="Calibri" w:hAnsi="Calibri"/>
          <w:b w:val="0"/>
          <w:i/>
          <w:color w:val="1458A6"/>
          <w:sz w:val="23"/>
        </w:rPr>
        <w:t>A Full-Stack Intelligent Web Portal featuring Automated Admissions Processing, Merit &amp; Scholarship Prediction, Real-Time Counselor Console, and Role-Based Authentication</w:t>
      </w:r>
    </w:p>
    <w:tbl>
      <w:tblPr>
        <w:tblW w:type="auto" w:w="0"/>
        <w:jc w:val="center"/>
        <w:tblLook w:firstColumn="1" w:firstRow="1" w:lastColumn="0" w:lastRow="0" w:noHBand="0" w:noVBand="1" w:val="04A0"/>
      </w:tblPr>
      <w:tblGrid>
        <w:gridCol w:w="4680"/>
        <w:gridCol w:w="4680"/>
      </w:tblGrid>
      <w:tr>
        <w:tc>
          <w:tcPr>
            <w:tcW w:type="dxa" w:w="4608"/>
            <w:tcBorders>
              <w:top w:val="none"/>
              <w:left w:val="none"/>
              <w:bottom w:val="none"/>
              <w:right w:val="none"/>
            </w:tcBorders>
          </w:tcPr>
          <w:p>
            <w:r>
              <w:rPr>
                <w:b/>
              </w:rPr>
              <w:t>SUBMITTED BY:</w:t>
            </w:r>
          </w:p>
        </w:tc>
        <w:tc>
          <w:tcPr>
            <w:tcW w:type="dxa" w:w="4608"/>
            <w:tcBorders>
              <w:top w:val="none"/>
              <w:left w:val="none"/>
              <w:bottom w:val="none"/>
              <w:right w:val="none"/>
            </w:tcBorders>
          </w:tcPr>
          <w:p>
            <w:r>
              <w:rPr>
                <w:b/>
              </w:rPr>
              <w:t>SUPERVISED BY:</w:t>
            </w:r>
          </w:p>
        </w:tc>
      </w:tr>
      <w:tr>
        <w:tc>
          <w:tcPr>
            <w:tcW w:type="dxa" w:w="4608"/>
            <w:tcBorders>
              <w:top w:val="none"/>
              <w:left w:val="none"/>
              <w:bottom w:val="none"/>
              <w:right w:val="none"/>
            </w:tcBorders>
          </w:tcPr>
          <w:p>
            <w:r>
              <w:rPr>
                <w:rFonts w:ascii="Calibri" w:hAnsi="Calibri"/>
                <w:b w:val="0"/>
                <w:i w:val="0"/>
                <w:color w:val="17283D"/>
                <w:sz w:val="21"/>
              </w:rPr>
              <w:t>Project Team / Scholar</w:t>
              <w:br/>
              <w:t>B.Tech Computer Science &amp; Engineering</w:t>
              <w:br/>
              <w:t>Registration No: CUTM2026-CSE-001</w:t>
              <w:br/>
              <w:t>Centurion University (CUTM)</w:t>
            </w:r>
          </w:p>
        </w:tc>
        <w:tc>
          <w:tcPr>
            <w:tcW w:type="dxa" w:w="4608"/>
            <w:tcBorders>
              <w:top w:val="none"/>
              <w:left w:val="none"/>
              <w:bottom w:val="none"/>
              <w:right w:val="none"/>
            </w:tcBorders>
          </w:tcPr>
          <w:p>
            <w:r>
              <w:rPr>
                <w:rFonts w:ascii="Calibri" w:hAnsi="Calibri"/>
                <w:b w:val="0"/>
                <w:i w:val="0"/>
                <w:color w:val="17283D"/>
                <w:sz w:val="21"/>
              </w:rPr>
              <w:t>Department of Computer Science &amp; Engineering</w:t>
              <w:br/>
              <w:t>Faculty of Engineering &amp; Technology</w:t>
              <w:br/>
              <w:t>Centurion University of Technology &amp; Management</w:t>
              <w:br/>
              <w:t>Academic Year 2026–2027</w:t>
            </w:r>
          </w:p>
        </w:tc>
      </w:tr>
    </w:tbl>
    <w:p>
      <w:r>
        <w:br w:type="page"/>
      </w:r>
    </w:p>
    <w:p>
      <w:pPr>
        <w:spacing w:before="80" w:after="360"/>
        <w:jc w:val="center"/>
      </w:pPr>
      <w:r>
        <w:rPr>
          <w:rFonts w:ascii="Calibri" w:hAnsi="Calibri"/>
          <w:b/>
          <w:i w:val="0"/>
          <w:color w:val="102B4E"/>
          <w:sz w:val="32"/>
        </w:rPr>
        <w:t>CERTIFICATE OF APPROVAL</w:t>
      </w:r>
    </w:p>
    <w:p>
      <w:pPr>
        <w:spacing w:before="0" w:after="120" w:line="276" w:lineRule="auto"/>
      </w:pPr>
      <w:r>
        <w:rPr>
          <w:rFonts w:ascii="Calibri" w:hAnsi="Calibri"/>
          <w:b w:val="0"/>
          <w:i w:val="0"/>
          <w:color w:val="17283D"/>
          <w:sz w:val="22"/>
        </w:rPr>
        <w:t>This is to certify that the project entitled "AI-ENABLED UNIVERSITY WEB PORTAL &amp; ADMISSIONS MANAGEMENT SYSTEM" is a bonafide record of independent project work carried out by the student team in partial fulfillment of the requirements for the award of the Degree of Bachelor of Technology in Computer Science &amp; Engineering at Centurion University of Technology and Management (CUTM), during the academic year 2026–2027.</w:t>
      </w:r>
    </w:p>
    <w:p>
      <w:pPr>
        <w:spacing w:before="0" w:after="120" w:line="276" w:lineRule="auto"/>
      </w:pPr>
      <w:r>
        <w:rPr>
          <w:rFonts w:ascii="Calibri" w:hAnsi="Calibri"/>
          <w:b w:val="0"/>
          <w:i w:val="0"/>
          <w:color w:val="17283D"/>
          <w:sz w:val="22"/>
        </w:rPr>
        <w:t>The project demonstrates sound software engineering principles, modular architectural design, robust relational database integration, and successful implementation of artificial intelligence-assisted admission merit predictions and real-time administrative counseling telemetry.</w:t>
      </w:r>
    </w:p>
    <w:p>
      <w:pPr>
        <w:spacing w:before="600"/>
      </w:pPr>
    </w:p>
    <w:tbl>
      <w:tblPr>
        <w:tblW w:type="auto" w:w="0"/>
        <w:jc w:val="center"/>
        <w:tblLook w:firstColumn="1" w:firstRow="1" w:lastColumn="0" w:lastRow="0" w:noHBand="0" w:noVBand="1" w:val="04A0"/>
      </w:tblPr>
      <w:tblGrid>
        <w:gridCol w:w="3120"/>
        <w:gridCol w:w="3120"/>
        <w:gridCol w:w="3120"/>
      </w:tblGrid>
      <w:tr>
        <w:tc>
          <w:tcPr>
            <w:tcW w:type="dxa" w:w="3024"/>
            <w:tcBorders>
              <w:top w:val="none"/>
              <w:left w:val="none"/>
              <w:bottom w:val="none"/>
              <w:right w:val="none"/>
            </w:tcBorders>
          </w:tcPr>
          <w:p>
            <w:pPr>
              <w:jc w:val="center"/>
            </w:pPr>
            <w:r>
              <w:rPr>
                <w:rFonts w:ascii="Calibri" w:hAnsi="Calibri"/>
                <w:b/>
                <w:i w:val="0"/>
                <w:color w:val="102B4E"/>
                <w:sz w:val="19"/>
              </w:rPr>
              <w:t>_____________________</w:t>
              <w:br/>
              <w:t>Project Supervisor</w:t>
              <w:br/>
              <w:t>Dept. of CSE, CUTM</w:t>
            </w:r>
          </w:p>
        </w:tc>
        <w:tc>
          <w:tcPr>
            <w:tcW w:type="dxa" w:w="3024"/>
            <w:tcBorders>
              <w:top w:val="none"/>
              <w:left w:val="none"/>
              <w:bottom w:val="none"/>
              <w:right w:val="none"/>
            </w:tcBorders>
          </w:tcPr>
          <w:p>
            <w:pPr>
              <w:jc w:val="center"/>
            </w:pPr>
            <w:r>
              <w:rPr>
                <w:rFonts w:ascii="Calibri" w:hAnsi="Calibri"/>
                <w:b/>
                <w:i w:val="0"/>
                <w:color w:val="102B4E"/>
                <w:sz w:val="19"/>
              </w:rPr>
              <w:t>_____________________</w:t>
              <w:br/>
              <w:t>Head of Department</w:t>
              <w:br/>
              <w:t>Dept. of CSE, CUTM</w:t>
            </w:r>
          </w:p>
        </w:tc>
        <w:tc>
          <w:tcPr>
            <w:tcW w:type="dxa" w:w="3024"/>
            <w:tcBorders>
              <w:top w:val="none"/>
              <w:left w:val="none"/>
              <w:bottom w:val="none"/>
              <w:right w:val="none"/>
            </w:tcBorders>
          </w:tcPr>
          <w:p>
            <w:pPr>
              <w:jc w:val="center"/>
            </w:pPr>
            <w:r>
              <w:rPr>
                <w:rFonts w:ascii="Calibri" w:hAnsi="Calibri"/>
                <w:b/>
                <w:i w:val="0"/>
                <w:color w:val="102B4E"/>
                <w:sz w:val="19"/>
              </w:rPr>
              <w:t>_____________________</w:t>
              <w:br/>
              <w:t>External Examiner</w:t>
              <w:br/>
              <w:t>Board of Evaluators</w:t>
            </w:r>
          </w:p>
        </w:tc>
      </w:tr>
    </w:tbl>
    <w:p>
      <w:r>
        <w:br w:type="page"/>
      </w:r>
    </w:p>
    <w:p>
      <w:pPr>
        <w:spacing w:before="80" w:after="280"/>
        <w:jc w:val="center"/>
      </w:pPr>
      <w:r>
        <w:rPr>
          <w:rFonts w:ascii="Calibri" w:hAnsi="Calibri"/>
          <w:b/>
          <w:i w:val="0"/>
          <w:color w:val="102B4E"/>
          <w:sz w:val="30"/>
        </w:rPr>
        <w:t>CANDIDATE'S DECLARATION</w:t>
      </w:r>
    </w:p>
    <w:p>
      <w:pPr>
        <w:spacing w:before="0" w:after="120" w:line="276" w:lineRule="auto"/>
      </w:pPr>
      <w:r>
        <w:rPr>
          <w:rFonts w:ascii="Calibri" w:hAnsi="Calibri"/>
          <w:b w:val="0"/>
          <w:i w:val="0"/>
          <w:color w:val="17283D"/>
          <w:sz w:val="22"/>
        </w:rPr>
        <w:t>I/We hereby declare that the work presented in this project report entitled "AI-Enabled University Web Portal &amp; Admissions Management System" is an authentic record of our own work carried out under the supervision of the faculty members of the Department of Computer Science &amp; Engineering, Centurion University of Technology and Management (CUTM). No part of this report has been submitted elsewhere for any other degree or diploma.</w:t>
      </w:r>
    </w:p>
    <w:p>
      <w:pPr>
        <w:spacing w:before="80" w:after="280"/>
        <w:jc w:val="center"/>
      </w:pPr>
      <w:r>
        <w:rPr>
          <w:rFonts w:ascii="Calibri" w:hAnsi="Calibri"/>
          <w:b/>
          <w:i w:val="0"/>
          <w:color w:val="102B4E"/>
          <w:sz w:val="30"/>
        </w:rPr>
        <w:t>ACKNOWLEDGEMENTS</w:t>
      </w:r>
    </w:p>
    <w:p>
      <w:pPr>
        <w:spacing w:before="0" w:after="120" w:line="276" w:lineRule="auto"/>
      </w:pPr>
      <w:r>
        <w:rPr>
          <w:rFonts w:ascii="Calibri" w:hAnsi="Calibri"/>
          <w:b w:val="0"/>
          <w:i w:val="0"/>
          <w:color w:val="17283D"/>
          <w:sz w:val="22"/>
        </w:rPr>
        <w:t>We express our profound gratitude to the leadership of Centurion University of Technology and Management (CUTM) for providing state-of-the-art computing infrastructure, high-speed connectivity, and modern laboratory environments that facilitated the successful development of this platform.</w:t>
      </w:r>
    </w:p>
    <w:p>
      <w:pPr>
        <w:spacing w:before="0" w:after="120" w:line="276" w:lineRule="auto"/>
      </w:pPr>
      <w:r>
        <w:rPr>
          <w:rFonts w:ascii="Calibri" w:hAnsi="Calibri"/>
          <w:b w:val="0"/>
          <w:i w:val="0"/>
          <w:color w:val="17283D"/>
          <w:sz w:val="22"/>
        </w:rPr>
        <w:t>We are deeply indebted to our Project Supervisor and the Head of Department for their constant technical guidance, intellectual encouragement, and critical reviews throughout every development sprint—from initial requirements analysis to final full-stack verification.</w:t>
      </w:r>
    </w:p>
    <w:p>
      <w:pPr>
        <w:spacing w:before="0" w:after="120" w:line="276" w:lineRule="auto"/>
      </w:pPr>
      <w:r>
        <w:rPr>
          <w:rFonts w:ascii="Calibri" w:hAnsi="Calibri"/>
          <w:b w:val="0"/>
          <w:i w:val="0"/>
          <w:color w:val="17283D"/>
          <w:sz w:val="22"/>
        </w:rPr>
        <w:t>Finally, we extend our heartfelt appreciation to our parents, peers, and faculty members whose unwavering support provided the foundation for our technical endeavors.</w:t>
      </w:r>
    </w:p>
    <w:p>
      <w:r>
        <w:br w:type="page"/>
      </w:r>
    </w:p>
    <w:p>
      <w:pPr>
        <w:spacing w:before="80" w:after="280"/>
        <w:jc w:val="center"/>
      </w:pPr>
      <w:r>
        <w:rPr>
          <w:rFonts w:ascii="Calibri" w:hAnsi="Calibri"/>
          <w:b/>
          <w:i w:val="0"/>
          <w:color w:val="102B4E"/>
          <w:sz w:val="32"/>
        </w:rPr>
        <w:t>EXECUTIVE SUMMARY / ABSTRACT</w:t>
      </w:r>
    </w:p>
    <w:p>
      <w:pPr>
        <w:spacing w:before="0" w:after="120" w:line="276" w:lineRule="auto"/>
      </w:pPr>
      <w:r>
        <w:rPr>
          <w:rFonts w:ascii="Calibri" w:hAnsi="Calibri"/>
          <w:b w:val="0"/>
          <w:i w:val="0"/>
          <w:color w:val="17283D"/>
          <w:sz w:val="22"/>
        </w:rPr>
        <w:t>Modern higher educational institutions operate in an increasingly digital and competitive landscape where prospective students and guardians expect instant access to authentic academic information, interactive admission evaluations, and streamlined digital application procedures. Traditional university portals frequently suffer from fragmented departmental silos, static and outdated content, manual application intake prone to data loss, and an absence of real-time administrative telemetry.</w:t>
      </w:r>
    </w:p>
    <w:p>
      <w:pPr>
        <w:spacing w:before="0" w:after="120" w:line="276" w:lineRule="auto"/>
      </w:pPr>
      <w:r>
        <w:rPr>
          <w:rFonts w:ascii="Calibri" w:hAnsi="Calibri"/>
          <w:b w:val="0"/>
          <w:i w:val="0"/>
          <w:color w:val="17283D"/>
          <w:sz w:val="22"/>
        </w:rPr>
        <w:t>To resolve these operational bottlenecks, this project presents the CUTM AI-Enabled University Web Portal &amp; Admissions Management System—a modern, full-stack web platform specifically engineered for Centurion University of Technology and Management (CUTM). The platform couples a responsive, zero-dependency client architecture with a lightweight, high-performance Python/Flask backend and an embedded relational SQLite database engine.</w:t>
      </w:r>
    </w:p>
    <w:p>
      <w:pPr>
        <w:spacing w:before="0" w:after="120" w:line="276" w:lineRule="auto"/>
      </w:pPr>
      <w:r>
        <w:rPr>
          <w:rFonts w:ascii="Calibri" w:hAnsi="Calibri"/>
          <w:b w:val="0"/>
          <w:i w:val="0"/>
          <w:color w:val="17283D"/>
          <w:sz w:val="22"/>
        </w:rPr>
        <w:t>Key technical accomplishments of the platform include:</w:t>
      </w:r>
    </w:p>
    <w:p>
      <w:pPr>
        <w:pStyle w:val="ListBullet"/>
        <w:spacing w:before="0" w:after="60" w:line="276" w:lineRule="auto"/>
      </w:pPr>
      <w:r>
        <w:rPr>
          <w:rFonts w:ascii="Calibri" w:hAnsi="Calibri"/>
          <w:b/>
          <w:i w:val="0"/>
          <w:color w:val="102B4E"/>
          <w:sz w:val="22"/>
        </w:rPr>
        <w:t xml:space="preserve">1. Multi-Faculty Academic Catalog: </w:t>
      </w:r>
      <w:r>
        <w:rPr>
          <w:rFonts w:ascii="Calibri" w:hAnsi="Calibri"/>
          <w:b w:val="0"/>
          <w:i w:val="0"/>
          <w:color w:val="17283D"/>
          <w:sz w:val="22"/>
        </w:rPr>
        <w:t>A centralized catalog detailing 8 high-demand programs across Engineering (B.Tech CSE, ECE, Mechanical, Civil), Polytechnic Diploma, Agricultural Sciences (B.Sc. Hons. Agriculture), Management (BBA), and Healthcare (B.Sc. Nursing) with complete seat allocations, fees, and eligibility.</w:t>
      </w:r>
    </w:p>
    <w:p>
      <w:pPr>
        <w:pStyle w:val="ListBullet"/>
        <w:spacing w:before="0" w:after="60" w:line="276" w:lineRule="auto"/>
      </w:pPr>
      <w:r>
        <w:rPr>
          <w:rFonts w:ascii="Calibri" w:hAnsi="Calibri"/>
          <w:b/>
          <w:i w:val="0"/>
          <w:color w:val="102B4E"/>
          <w:sz w:val="22"/>
        </w:rPr>
        <w:t xml:space="preserve">2. Intelligent Admissions Engine: </w:t>
      </w:r>
      <w:r>
        <w:rPr>
          <w:rFonts w:ascii="Calibri" w:hAnsi="Calibri"/>
          <w:b w:val="0"/>
          <w:i w:val="0"/>
          <w:color w:val="17283D"/>
          <w:sz w:val="22"/>
        </w:rPr>
        <w:t>An online application workflow generating unique reference tracking identifiers (CUTM-XXXXXX), calculating dynamic composite merit scores (0–100), and routing inquiries instantly to university counselors.</w:t>
      </w:r>
    </w:p>
    <w:p>
      <w:pPr>
        <w:pStyle w:val="ListBullet"/>
        <w:spacing w:before="0" w:after="60" w:line="276" w:lineRule="auto"/>
      </w:pPr>
      <w:r>
        <w:rPr>
          <w:rFonts w:ascii="Calibri" w:hAnsi="Calibri"/>
          <w:b/>
          <w:i w:val="0"/>
          <w:color w:val="102B4E"/>
          <w:sz w:val="22"/>
        </w:rPr>
        <w:t xml:space="preserve">3. AI Merit &amp; Scholarship Predictor: </w:t>
      </w:r>
      <w:r>
        <w:rPr>
          <w:rFonts w:ascii="Calibri" w:hAnsi="Calibri"/>
          <w:b w:val="0"/>
          <w:i w:val="0"/>
          <w:color w:val="17283D"/>
          <w:sz w:val="22"/>
        </w:rPr>
        <w:t>A mathematical evaluation service analyzing 10th/12th board marks against historical cutoff percentiles to estimate direct admission probability and Chancellor Merit Scholarship tiers (up to 100% tuition fee waiver).</w:t>
      </w:r>
    </w:p>
    <w:p>
      <w:pPr>
        <w:pStyle w:val="ListBullet"/>
        <w:spacing w:before="0" w:after="60" w:line="276" w:lineRule="auto"/>
      </w:pPr>
      <w:r>
        <w:rPr>
          <w:rFonts w:ascii="Calibri" w:hAnsi="Calibri"/>
          <w:b/>
          <w:i w:val="0"/>
          <w:color w:val="102B4E"/>
          <w:sz w:val="22"/>
        </w:rPr>
        <w:t xml:space="preserve">4. Real-Time Admin Counseling Hub: </w:t>
      </w:r>
      <w:r>
        <w:rPr>
          <w:rFonts w:ascii="Calibri" w:hAnsi="Calibri"/>
          <w:b w:val="0"/>
          <w:i w:val="0"/>
          <w:color w:val="17283D"/>
          <w:sz w:val="22"/>
        </w:rPr>
        <w:t>A reactive administrative console featuring 10-second background polling, subtle Web Audio API acoustic chime alerts, slide-in toast notifications, multi-column search/filtering, and one-click CSV/Excel report exports.</w:t>
      </w:r>
    </w:p>
    <w:p>
      <w:pPr>
        <w:pStyle w:val="ListBullet"/>
        <w:spacing w:before="0" w:after="60" w:line="276" w:lineRule="auto"/>
      </w:pPr>
      <w:r>
        <w:rPr>
          <w:rFonts w:ascii="Calibri" w:hAnsi="Calibri"/>
          <w:b/>
          <w:i w:val="0"/>
          <w:color w:val="102B4E"/>
          <w:sz w:val="22"/>
        </w:rPr>
        <w:t xml:space="preserve">5. Dual-Tab Cryptographic Authentication: </w:t>
      </w:r>
      <w:r>
        <w:rPr>
          <w:rFonts w:ascii="Calibri" w:hAnsi="Calibri"/>
          <w:b w:val="0"/>
          <w:i w:val="0"/>
          <w:color w:val="17283D"/>
          <w:sz w:val="22"/>
        </w:rPr>
        <w:t>A secured portal (login.html) offering both Sign In and Registration tabs with PBKDF2/scrypt password salting via werkzeug.security and stateless JWT authorization.</w:t>
      </w:r>
    </w:p>
    <w:p>
      <w:pPr>
        <w:pStyle w:val="ListBullet"/>
        <w:spacing w:before="0" w:after="60" w:line="276" w:lineRule="auto"/>
      </w:pPr>
      <w:r>
        <w:rPr>
          <w:rFonts w:ascii="Calibri" w:hAnsi="Calibri"/>
          <w:b/>
          <w:i w:val="0"/>
          <w:color w:val="102B4E"/>
          <w:sz w:val="22"/>
        </w:rPr>
        <w:t xml:space="preserve">6. Verified Visual Identity: </w:t>
      </w:r>
      <w:r>
        <w:rPr>
          <w:rFonts w:ascii="Calibri" w:hAnsi="Calibri"/>
          <w:b w:val="0"/>
          <w:i w:val="0"/>
          <w:color w:val="17283D"/>
          <w:sz w:val="22"/>
        </w:rPr>
        <w:t>Full integration of the official circular CUTM emblem seal ("ज्ञानस्य संयोगाय वितरणाय च") and authentic panoramic campus photography across all responsive viewports.</w:t>
      </w:r>
    </w:p>
    <w:p>
      <w:r>
        <w:br w:type="page"/>
      </w:r>
    </w:p>
    <w:p>
      <w:pPr>
        <w:spacing w:before="80" w:after="320"/>
        <w:jc w:val="center"/>
      </w:pPr>
      <w:r>
        <w:rPr>
          <w:rFonts w:ascii="Calibri" w:hAnsi="Calibri"/>
          <w:b/>
          <w:i w:val="0"/>
          <w:color w:val="102B4E"/>
          <w:sz w:val="32"/>
        </w:rPr>
        <w:t>TABLE OF CONTENTS</w:t>
      </w:r>
    </w:p>
    <w:tbl>
      <w:tblPr>
        <w:tblW w:type="auto" w:w="0"/>
        <w:jc w:val="center"/>
        <w:tblLook w:firstColumn="1" w:firstRow="1" w:lastColumn="0" w:lastRow="0" w:noHBand="0" w:noVBand="1" w:val="04A0"/>
      </w:tblPr>
      <w:tblGrid>
        <w:gridCol w:w="4680"/>
        <w:gridCol w:w="4680"/>
      </w:tblGrid>
      <w:tr>
        <w:tc>
          <w:tcPr>
            <w:tcW w:type="dxa" w:w="7920"/>
            <w:tcBorders>
              <w:top w:val="none"/>
              <w:left w:val="none"/>
              <w:bottom w:val="none"/>
              <w:right w:val="none"/>
            </w:tcBorders>
          </w:tcPr>
          <w:p>
            <w:pPr>
              <w:spacing w:before="40" w:after="40"/>
            </w:pPr>
            <w:r>
              <w:rPr>
                <w:rFonts w:ascii="Calibri" w:hAnsi="Calibri"/>
                <w:b/>
                <w:i w:val="0"/>
                <w:color w:val="102B4E"/>
                <w:sz w:val="20"/>
              </w:rPr>
              <w:t>Chapter 1: Introduction &amp; Institutional Context</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1</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1.1 Project Overview</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1.2 Centurion University (CUTM) Background</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1.3 Motivation &amp; Need for Digital Modernization</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1.4 Project Objectives &amp; Scope</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3</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2: Literature Review &amp; Problem Formulation</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4</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2.1 Review of Contemporary Academic Portals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4</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2.2 Limitations of Legacy Web Architectures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5</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2.3 Comparative Matrix: Legacy vs Proposed System</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6</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3: System Requirements &amp; Feasibility Analysis</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7</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3.1 Hardware &amp; Environmental Requirements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7</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3.2 Software Stack &amp; Technology Decisions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8</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3.3 Functional Requirements Specification (FRS)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9</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3.4 Non-Functional Requirements Specification (NFRS)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10</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4: System Architecture &amp; Technical Design</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11</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4.1 3-Tier Decoupled Architecture</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11</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4.2 Workspace Organization (src, template, static, docs)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12</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4.3 RESTful API Endpoint Map</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13</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4.4 Data Flow &amp; Sequence Telemetry</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14</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5: Database Design &amp; Schema Specifications</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15</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5.1 Relational Architecture in SQLite</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15</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5.2 Entity Specifications (users, leads, events, registrations)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16</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6: Functional Modules &amp; Algorithmic Implementation</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18</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6.1 Course Directory &amp; Departmental Catalog</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18</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6.2 Admissions Intake &amp; Reference Code Generator</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19</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6.3 AI Merit &amp; Scholarship Prediction Engine</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20</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6.4 Real-Time Administrative Counseling Hub</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21</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6.5 Dual-Tab User Registration &amp; JWT Security</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22</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6.6 Interactive Campus Events &amp; 24/7 AI Assistant</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23</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7: UI/UX &amp; Visual Design System</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24</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7.1 Brand Color Palette &amp; Typography</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24</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7.2 Circular Emblem Seal Restoration</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25</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7.3 Scenic Campus Hero Visual Showcase</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26</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8: Security, Validation &amp; Exception Handling</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27</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8.1 Password Hashing &amp; Stateless JWT Security</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27</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8.2 XSS &amp; SQL Injection Defense Mechanisms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28</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9: System Testing, Verification &amp; Results</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29</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9.1 Test Methodology &amp; Strategy</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29</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9.2 Comprehensive Verification Test Matrix</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30</w:t>
            </w:r>
          </w:p>
        </w:tc>
      </w:tr>
      <w:tr>
        <w:tc>
          <w:tcPr>
            <w:tcW w:type="dxa" w:w="7920"/>
            <w:tcBorders>
              <w:top w:val="none"/>
              <w:left w:val="none"/>
              <w:bottom w:val="none"/>
              <w:right w:val="none"/>
            </w:tcBorders>
          </w:tcPr>
          <w:p>
            <w:pPr>
              <w:spacing w:before="40" w:after="40"/>
            </w:pPr>
            <w:r>
              <w:rPr>
                <w:rFonts w:ascii="Calibri" w:hAnsi="Calibri"/>
                <w:b/>
                <w:i w:val="0"/>
                <w:color w:val="102B4E"/>
                <w:sz w:val="20"/>
              </w:rPr>
              <w:t>Chapter 10: Conclusion &amp; Future Scope</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32</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10.1 Project Conclusion</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32</w:t>
            </w:r>
          </w:p>
        </w:tc>
      </w:tr>
      <w:tr>
        <w:tc>
          <w:tcPr>
            <w:tcW w:type="dxa" w:w="7920"/>
            <w:tcBorders>
              <w:top w:val="none"/>
              <w:left w:val="none"/>
              <w:bottom w:val="none"/>
              <w:right w:val="none"/>
            </w:tcBorders>
          </w:tcPr>
          <w:p>
            <w:pPr>
              <w:spacing w:before="40" w:after="40"/>
            </w:pPr>
            <w:r>
              <w:rPr>
                <w:rFonts w:ascii="Calibri" w:hAnsi="Calibri"/>
                <w:b w:val="0"/>
                <w:i w:val="0"/>
                <w:color w:val="17283D"/>
                <w:sz w:val="20"/>
              </w:rPr>
              <w:t xml:space="preserve">  10.2 Roadmap &amp; Future Enhancements</w:t>
            </w:r>
          </w:p>
        </w:tc>
        <w:tc>
          <w:tcPr>
            <w:tcW w:type="dxa" w:w="1440"/>
            <w:tcBorders>
              <w:top w:val="none"/>
              <w:left w:val="none"/>
              <w:bottom w:val="none"/>
              <w:right w:val="none"/>
            </w:tcBorders>
          </w:tcPr>
          <w:p>
            <w:pPr>
              <w:spacing w:before="40" w:after="40"/>
              <w:jc w:val="right"/>
            </w:pPr>
            <w:r>
              <w:rPr>
                <w:rFonts w:ascii="Calibri" w:hAnsi="Calibri"/>
                <w:b w:val="0"/>
                <w:i w:val="0"/>
                <w:color w:val="64748B"/>
                <w:sz w:val="20"/>
              </w:rPr>
              <w:t>33</w:t>
            </w:r>
          </w:p>
        </w:tc>
      </w:tr>
      <w:tr>
        <w:tc>
          <w:tcPr>
            <w:tcW w:type="dxa" w:w="7920"/>
            <w:tcBorders>
              <w:top w:val="none"/>
              <w:left w:val="none"/>
              <w:bottom w:val="none"/>
              <w:right w:val="none"/>
            </w:tcBorders>
          </w:tcPr>
          <w:p>
            <w:pPr>
              <w:spacing w:before="40" w:after="40"/>
            </w:pPr>
            <w:r>
              <w:rPr>
                <w:rFonts w:ascii="Calibri" w:hAnsi="Calibri"/>
                <w:b/>
                <w:i w:val="0"/>
                <w:color w:val="102B4E"/>
                <w:sz w:val="20"/>
              </w:rPr>
              <w:t>References &amp; Bibliography</w:t>
            </w:r>
          </w:p>
        </w:tc>
        <w:tc>
          <w:tcPr>
            <w:tcW w:type="dxa" w:w="1440"/>
            <w:tcBorders>
              <w:top w:val="none"/>
              <w:left w:val="none"/>
              <w:bottom w:val="none"/>
              <w:right w:val="none"/>
            </w:tcBorders>
          </w:tcPr>
          <w:p>
            <w:pPr>
              <w:spacing w:before="40" w:after="40"/>
              <w:jc w:val="right"/>
            </w:pPr>
            <w:r>
              <w:rPr>
                <w:rFonts w:ascii="Calibri" w:hAnsi="Calibri"/>
                <w:b/>
                <w:i w:val="0"/>
                <w:color w:val="102B4E"/>
                <w:sz w:val="20"/>
              </w:rPr>
              <w:t>34</w:t>
            </w:r>
          </w:p>
        </w:tc>
      </w:tr>
    </w:tbl>
    <w:p>
      <w:r>
        <w:br w:type="page"/>
      </w:r>
    </w:p>
    <w:p>
      <w:pPr>
        <w:keepNext/>
        <w:spacing w:before="320" w:after="120"/>
      </w:pPr>
      <w:r>
        <w:rPr>
          <w:rFonts w:ascii="Calibri" w:hAnsi="Calibri"/>
          <w:b/>
          <w:i w:val="0"/>
          <w:color w:val="102B4E"/>
          <w:sz w:val="32"/>
        </w:rPr>
        <w:t>CHAPTER 1: INTRODUCTION &amp; INSTITUTIONAL CONTEXT</w:t>
      </w:r>
    </w:p>
    <w:p>
      <w:pPr>
        <w:keepNext/>
        <w:spacing w:before="240" w:after="80"/>
      </w:pPr>
      <w:r>
        <w:rPr>
          <w:rFonts w:ascii="Calibri" w:hAnsi="Calibri"/>
          <w:b/>
          <w:i w:val="0"/>
          <w:color w:val="1458A6"/>
          <w:sz w:val="26"/>
        </w:rPr>
        <w:t>1.1 Project Overview</w:t>
      </w:r>
    </w:p>
    <w:p>
      <w:pPr>
        <w:spacing w:before="0" w:after="120" w:line="276" w:lineRule="auto"/>
      </w:pPr>
      <w:r>
        <w:rPr>
          <w:rFonts w:ascii="Calibri" w:hAnsi="Calibri"/>
          <w:b w:val="0"/>
          <w:i w:val="0"/>
          <w:color w:val="17283D"/>
          <w:sz w:val="22"/>
        </w:rPr>
        <w:t>In the contemporary higher education sector, an institution's web presence serves as its primary digital gateway, public face, and operational engine. Prospective applicants, parents, enrolled scholars, corporate recruiters, and visiting dignitaries interact with the university first through its website. The project "AI-Enabled University Web Portal &amp; Admissions Management System" has been conceptualized, architected, and engineered to provide Centurion University of Technology and Management (CUTM) with an elite, intelligent, and real-time digital infrastructure.</w:t>
      </w:r>
    </w:p>
    <w:p>
      <w:pPr>
        <w:spacing w:before="0" w:after="120" w:line="276" w:lineRule="auto"/>
      </w:pPr>
      <w:r>
        <w:rPr>
          <w:rFonts w:ascii="Calibri" w:hAnsi="Calibri"/>
          <w:b w:val="0"/>
          <w:i w:val="0"/>
          <w:color w:val="17283D"/>
          <w:sz w:val="22"/>
        </w:rPr>
        <w:t>Unlike conventional static academic websites that act merely as digital brochures, this platform combines proactive student discovery, dynamic merit-based admission evaluation, automated lead generation, instant counselor notifications, and administrative decision-support telemetry into a unified software system.</w:t>
      </w:r>
    </w:p>
    <w:p>
      <w:pPr>
        <w:keepNext/>
        <w:spacing w:before="240" w:after="80"/>
      </w:pPr>
      <w:r>
        <w:rPr>
          <w:rFonts w:ascii="Calibri" w:hAnsi="Calibri"/>
          <w:b/>
          <w:i w:val="0"/>
          <w:color w:val="1458A6"/>
          <w:sz w:val="26"/>
        </w:rPr>
        <w:t>1.2 Centurion University (CUTM) Profile</w:t>
      </w:r>
    </w:p>
    <w:p>
      <w:pPr>
        <w:spacing w:before="0" w:after="120" w:line="276" w:lineRule="auto"/>
      </w:pPr>
      <w:r>
        <w:rPr>
          <w:rFonts w:ascii="Calibri" w:hAnsi="Calibri"/>
          <w:b w:val="0"/>
          <w:i w:val="0"/>
          <w:color w:val="17283D"/>
          <w:sz w:val="22"/>
        </w:rPr>
        <w:t>Centurion University of Technology and Management (CUTM) is a premier multi-campus private university in India accredited with Grade 'A+' by NAAC. With prominent campuses at Parlakhemundi, Bhubaneswar, Balangir, Rayagada, and Balasore, CUTM is recognized nationally for its pioneering model of skill-integrated higher education, practical hands-on laboratories, social entrepreneurship, and world-class research centers.</w:t>
      </w:r>
    </w:p>
    <w:p>
      <w:pPr>
        <w:spacing w:before="0" w:after="120" w:line="276" w:lineRule="auto"/>
      </w:pPr>
      <w:r>
        <w:rPr>
          <w:rFonts w:ascii="Calibri" w:hAnsi="Calibri"/>
          <w:b w:val="0"/>
          <w:i w:val="0"/>
          <w:color w:val="17283D"/>
          <w:sz w:val="22"/>
        </w:rPr>
        <w:t>Guided by the ancient Sanskrit shloka "ज्ञानस्य संयोगाय वितरणाय च" ("Connecting Through Knowledge") and the social mission "Shaping Lives, Empowering Communities", CUTM provides high-impact education spanning Engineering, Polytechnic, Agriculture, Management, and Nursing Sciences.</w:t>
      </w:r>
    </w:p>
    <w:p>
      <w:pPr>
        <w:keepNext/>
        <w:spacing w:before="240" w:after="80"/>
      </w:pPr>
      <w:r>
        <w:rPr>
          <w:rFonts w:ascii="Calibri" w:hAnsi="Calibri"/>
          <w:b/>
          <w:i w:val="0"/>
          <w:color w:val="1458A6"/>
          <w:sz w:val="26"/>
        </w:rPr>
        <w:t>1.3 Motivation &amp; Need for Digital Modernization</w:t>
      </w:r>
    </w:p>
    <w:p>
      <w:pPr>
        <w:spacing w:before="0" w:after="120" w:line="276" w:lineRule="auto"/>
      </w:pPr>
      <w:r>
        <w:rPr>
          <w:rFonts w:ascii="Calibri" w:hAnsi="Calibri"/>
          <w:b w:val="0"/>
          <w:i w:val="0"/>
          <w:color w:val="17283D"/>
          <w:sz w:val="22"/>
        </w:rPr>
        <w:t>During annual admissions cycles, universities receive thousands of academic inquiries across various disciplines. Traditionally, these inquiries are handled via decentralized paper forms, third-party lead aggregator portals, or unorganized email chains. This causes significant operational pain points:</w:t>
      </w:r>
    </w:p>
    <w:p>
      <w:pPr>
        <w:pStyle w:val="ListBullet"/>
        <w:spacing w:before="0" w:after="60" w:line="276" w:lineRule="auto"/>
      </w:pPr>
      <w:r>
        <w:rPr>
          <w:rFonts w:ascii="Calibri" w:hAnsi="Calibri"/>
          <w:b/>
          <w:i w:val="0"/>
          <w:color w:val="102B4E"/>
          <w:sz w:val="22"/>
        </w:rPr>
        <w:t xml:space="preserve">Data Inconsistency: </w:t>
      </w:r>
      <w:r>
        <w:rPr>
          <w:rFonts w:ascii="Calibri" w:hAnsi="Calibri"/>
          <w:b w:val="0"/>
          <w:i w:val="0"/>
          <w:color w:val="17283D"/>
          <w:sz w:val="22"/>
        </w:rPr>
        <w:t>Applicant details stored across separate spreadsheets create duplicate contacts and communication blind spots.</w:t>
      </w:r>
    </w:p>
    <w:p>
      <w:pPr>
        <w:pStyle w:val="ListBullet"/>
        <w:spacing w:before="0" w:after="60" w:line="276" w:lineRule="auto"/>
      </w:pPr>
      <w:r>
        <w:rPr>
          <w:rFonts w:ascii="Calibri" w:hAnsi="Calibri"/>
          <w:b/>
          <w:i w:val="0"/>
          <w:color w:val="102B4E"/>
          <w:sz w:val="22"/>
        </w:rPr>
        <w:t xml:space="preserve">Delayed Response Times: </w:t>
      </w:r>
      <w:r>
        <w:rPr>
          <w:rFonts w:ascii="Calibri" w:hAnsi="Calibri"/>
          <w:b w:val="0"/>
          <w:i w:val="0"/>
          <w:color w:val="17283D"/>
          <w:sz w:val="22"/>
        </w:rPr>
        <w:t>Counselors often take 3 to 7 days to follow up on web inquiries, drastically reducing student conversion rates.</w:t>
      </w:r>
    </w:p>
    <w:p>
      <w:pPr>
        <w:pStyle w:val="ListBullet"/>
        <w:spacing w:before="0" w:after="60" w:line="276" w:lineRule="auto"/>
      </w:pPr>
      <w:r>
        <w:rPr>
          <w:rFonts w:ascii="Calibri" w:hAnsi="Calibri"/>
          <w:b/>
          <w:i w:val="0"/>
          <w:color w:val="102B4E"/>
          <w:sz w:val="22"/>
        </w:rPr>
        <w:t xml:space="preserve">Lack of Student Transparency: </w:t>
      </w:r>
      <w:r>
        <w:rPr>
          <w:rFonts w:ascii="Calibri" w:hAnsi="Calibri"/>
          <w:b w:val="0"/>
          <w:i w:val="0"/>
          <w:color w:val="17283D"/>
          <w:sz w:val="22"/>
        </w:rPr>
        <w:t>Applicants have no immediate mechanism to estimate their admission chances, scholarship eligibility, or seat allotment status.</w:t>
      </w:r>
    </w:p>
    <w:p>
      <w:pPr>
        <w:pStyle w:val="ListBullet"/>
        <w:spacing w:before="0" w:after="60" w:line="276" w:lineRule="auto"/>
      </w:pPr>
      <w:r>
        <w:rPr>
          <w:rFonts w:ascii="Calibri" w:hAnsi="Calibri"/>
          <w:b/>
          <w:i w:val="0"/>
          <w:color w:val="102B4E"/>
          <w:sz w:val="22"/>
        </w:rPr>
        <w:t xml:space="preserve">Security Vulnerabilities: </w:t>
      </w:r>
      <w:r>
        <w:rPr>
          <w:rFonts w:ascii="Calibri" w:hAnsi="Calibri"/>
          <w:b w:val="0"/>
          <w:i w:val="0"/>
          <w:color w:val="17283D"/>
          <w:sz w:val="22"/>
        </w:rPr>
        <w:t>Unsecured administrative consoles risk exposure of sensitive applicant contact information and educational records.</w:t>
      </w:r>
    </w:p>
    <w:p>
      <w:pPr>
        <w:keepNext/>
        <w:spacing w:before="240" w:after="80"/>
      </w:pPr>
      <w:r>
        <w:rPr>
          <w:rFonts w:ascii="Calibri" w:hAnsi="Calibri"/>
          <w:b/>
          <w:i w:val="0"/>
          <w:color w:val="1458A6"/>
          <w:sz w:val="26"/>
        </w:rPr>
        <w:t>1.4 Project Objectives &amp; Scope</w:t>
      </w:r>
    </w:p>
    <w:p>
      <w:pPr>
        <w:spacing w:before="0" w:after="120" w:line="276" w:lineRule="auto"/>
      </w:pPr>
      <w:r>
        <w:rPr>
          <w:rFonts w:ascii="Calibri" w:hAnsi="Calibri"/>
          <w:b w:val="0"/>
          <w:i w:val="0"/>
          <w:color w:val="17283D"/>
          <w:sz w:val="22"/>
        </w:rPr>
        <w:t>The primary objectives accomplished by this project are:</w:t>
      </w:r>
    </w:p>
    <w:p>
      <w:pPr>
        <w:pStyle w:val="ListBullet"/>
        <w:spacing w:before="0" w:after="60" w:line="276" w:lineRule="auto"/>
      </w:pPr>
      <w:r>
        <w:rPr>
          <w:rFonts w:ascii="Calibri" w:hAnsi="Calibri"/>
          <w:b/>
          <w:i w:val="0"/>
          <w:color w:val="102B4E"/>
          <w:sz w:val="22"/>
        </w:rPr>
        <w:t xml:space="preserve">Objective 1: </w:t>
      </w:r>
      <w:r>
        <w:rPr>
          <w:rFonts w:ascii="Calibri" w:hAnsi="Calibri"/>
          <w:b w:val="0"/>
          <w:i w:val="0"/>
          <w:color w:val="17283D"/>
          <w:sz w:val="22"/>
        </w:rPr>
        <w:t>Design a high-performance web experience highlighting CUTM's 8 core academic branches with transparent seat, duration, and fee details.</w:t>
      </w:r>
    </w:p>
    <w:p>
      <w:pPr>
        <w:pStyle w:val="ListBullet"/>
        <w:spacing w:before="0" w:after="60" w:line="276" w:lineRule="auto"/>
      </w:pPr>
      <w:r>
        <w:rPr>
          <w:rFonts w:ascii="Calibri" w:hAnsi="Calibri"/>
          <w:b/>
          <w:i w:val="0"/>
          <w:color w:val="102B4E"/>
          <w:sz w:val="22"/>
        </w:rPr>
        <w:t xml:space="preserve">Objective 2: </w:t>
      </w:r>
      <w:r>
        <w:rPr>
          <w:rFonts w:ascii="Calibri" w:hAnsi="Calibri"/>
          <w:b w:val="0"/>
          <w:i w:val="0"/>
          <w:color w:val="17283D"/>
          <w:sz w:val="22"/>
        </w:rPr>
        <w:t>Develop an AI-assisted Merit and Scholarship Predictor evaluating academic board marks against historical university cutoffs.</w:t>
      </w:r>
    </w:p>
    <w:p>
      <w:pPr>
        <w:pStyle w:val="ListBullet"/>
        <w:spacing w:before="0" w:after="60" w:line="276" w:lineRule="auto"/>
      </w:pPr>
      <w:r>
        <w:rPr>
          <w:rFonts w:ascii="Calibri" w:hAnsi="Calibri"/>
          <w:b/>
          <w:i w:val="0"/>
          <w:color w:val="102B4E"/>
          <w:sz w:val="22"/>
        </w:rPr>
        <w:t xml:space="preserve">Objective 3: </w:t>
      </w:r>
      <w:r>
        <w:rPr>
          <w:rFonts w:ascii="Calibri" w:hAnsi="Calibri"/>
          <w:b w:val="0"/>
          <w:i w:val="0"/>
          <w:color w:val="17283D"/>
          <w:sz w:val="22"/>
        </w:rPr>
        <w:t>Implement an automated application workflow issuing official tracking codes (CUTM-XXXXXX) with composite scoring algorithms.</w:t>
      </w:r>
    </w:p>
    <w:p>
      <w:pPr>
        <w:pStyle w:val="ListBullet"/>
        <w:spacing w:before="0" w:after="60" w:line="276" w:lineRule="auto"/>
      </w:pPr>
      <w:r>
        <w:rPr>
          <w:rFonts w:ascii="Calibri" w:hAnsi="Calibri"/>
          <w:b/>
          <w:i w:val="0"/>
          <w:color w:val="102B4E"/>
          <w:sz w:val="22"/>
        </w:rPr>
        <w:t xml:space="preserve">Objective 4: </w:t>
      </w:r>
      <w:r>
        <w:rPr>
          <w:rFonts w:ascii="Calibri" w:hAnsi="Calibri"/>
          <w:b w:val="0"/>
          <w:i w:val="0"/>
          <w:color w:val="17283D"/>
          <w:sz w:val="22"/>
        </w:rPr>
        <w:t>Build a real-time reactive Administrative Dashboard with automated polling, audio chimes, search/filtering, and one-click Excel downloads.</w:t>
      </w:r>
    </w:p>
    <w:p>
      <w:pPr>
        <w:pStyle w:val="ListBullet"/>
        <w:spacing w:before="0" w:after="60" w:line="276" w:lineRule="auto"/>
      </w:pPr>
      <w:r>
        <w:rPr>
          <w:rFonts w:ascii="Calibri" w:hAnsi="Calibri"/>
          <w:b/>
          <w:i w:val="0"/>
          <w:color w:val="102B4E"/>
          <w:sz w:val="22"/>
        </w:rPr>
        <w:t xml:space="preserve">Objective 5: </w:t>
      </w:r>
      <w:r>
        <w:rPr>
          <w:rFonts w:ascii="Calibri" w:hAnsi="Calibri"/>
          <w:b w:val="0"/>
          <w:i w:val="0"/>
          <w:color w:val="17283D"/>
          <w:sz w:val="22"/>
        </w:rPr>
        <w:t>Establish secure user authentication with salted password hashing, JWT authorization, and dual-tab registration/login capabilities.</w:t>
      </w:r>
    </w:p>
    <w:p>
      <w:pPr>
        <w:keepNext/>
        <w:spacing w:before="320" w:after="120"/>
      </w:pPr>
      <w:r>
        <w:rPr>
          <w:rFonts w:ascii="Calibri" w:hAnsi="Calibri"/>
          <w:b/>
          <w:i w:val="0"/>
          <w:color w:val="102B4E"/>
          <w:sz w:val="32"/>
        </w:rPr>
        <w:t>CHAPTER 2: LITERATURE REVIEW &amp; PROBLEM FORMULATION</w:t>
      </w:r>
    </w:p>
    <w:p>
      <w:pPr>
        <w:keepNext/>
        <w:spacing w:before="240" w:after="80"/>
      </w:pPr>
      <w:r>
        <w:rPr>
          <w:rFonts w:ascii="Calibri" w:hAnsi="Calibri"/>
          <w:b/>
          <w:i w:val="0"/>
          <w:color w:val="1458A6"/>
          <w:sz w:val="26"/>
        </w:rPr>
        <w:t>2.1 Review of Contemporary Academic Portals</w:t>
      </w:r>
    </w:p>
    <w:p>
      <w:pPr>
        <w:spacing w:before="0" w:after="120" w:line="276" w:lineRule="auto"/>
      </w:pPr>
      <w:r>
        <w:rPr>
          <w:rFonts w:ascii="Calibri" w:hAnsi="Calibri"/>
          <w:b w:val="0"/>
          <w:i w:val="0"/>
          <w:color w:val="17283D"/>
          <w:sz w:val="22"/>
        </w:rPr>
        <w:t>A comprehensive review of academic portals across Tier-1 and Tier-2 Indian universities reveals that while visual design has improved over recent years, the underlying workflows remain largely fragmented. Most university portals separate their 'Admissions Website' from their 'Academic CMS', forcing students to navigate across disparate domains and fill repetitive forms.</w:t>
      </w:r>
    </w:p>
    <w:p>
      <w:pPr>
        <w:spacing w:before="0" w:after="120" w:line="276" w:lineRule="auto"/>
      </w:pPr>
      <w:r>
        <w:rPr>
          <w:rFonts w:ascii="Calibri" w:hAnsi="Calibri"/>
          <w:b w:val="0"/>
          <w:i w:val="0"/>
          <w:color w:val="17283D"/>
          <w:sz w:val="22"/>
        </w:rPr>
        <w:t>Furthermore, contemporary research in Educational Data Mining (EDM) demonstrates that early automated engagement—such as providing instant merit eligibility and scholarship tier estimates—increases applicant conversion rates by over 45% compared to static inquiry forms.</w:t>
      </w:r>
    </w:p>
    <w:p>
      <w:pPr>
        <w:keepNext/>
        <w:spacing w:before="240" w:after="80"/>
      </w:pPr>
      <w:r>
        <w:rPr>
          <w:rFonts w:ascii="Calibri" w:hAnsi="Calibri"/>
          <w:b/>
          <w:i w:val="0"/>
          <w:color w:val="1458A6"/>
          <w:sz w:val="26"/>
        </w:rPr>
        <w:t>2.2 Limitations of Legacy Web Architectures</w:t>
      </w:r>
    </w:p>
    <w:p>
      <w:pPr>
        <w:spacing w:before="0" w:after="120" w:line="276" w:lineRule="auto"/>
      </w:pPr>
      <w:r>
        <w:rPr>
          <w:rFonts w:ascii="Calibri" w:hAnsi="Calibri"/>
          <w:b w:val="0"/>
          <w:i w:val="0"/>
          <w:color w:val="17283D"/>
          <w:sz w:val="22"/>
        </w:rPr>
        <w:t>Legacy university software systems generally exhibit four fatal architectural weaknesses:</w:t>
      </w:r>
    </w:p>
    <w:p>
      <w:pPr>
        <w:pStyle w:val="ListBullet"/>
        <w:spacing w:before="0" w:after="60" w:line="276" w:lineRule="auto"/>
      </w:pPr>
      <w:r>
        <w:rPr>
          <w:rFonts w:ascii="Calibri" w:hAnsi="Calibri"/>
          <w:b/>
          <w:i w:val="0"/>
          <w:color w:val="102B4E"/>
          <w:sz w:val="22"/>
        </w:rPr>
        <w:t xml:space="preserve">Heavy Framework Bloat: </w:t>
      </w:r>
      <w:r>
        <w:rPr>
          <w:rFonts w:ascii="Calibri" w:hAnsi="Calibri"/>
          <w:b w:val="0"/>
          <w:i w:val="0"/>
          <w:color w:val="17283D"/>
          <w:sz w:val="22"/>
        </w:rPr>
        <w:t>Over-reliance on heavy monolithic frameworks resulting in slow page loading speeds (&gt; 4.5 seconds on 3G/4G mobile networks).</w:t>
      </w:r>
    </w:p>
    <w:p>
      <w:pPr>
        <w:pStyle w:val="ListBullet"/>
        <w:spacing w:before="0" w:after="60" w:line="276" w:lineRule="auto"/>
      </w:pPr>
      <w:r>
        <w:rPr>
          <w:rFonts w:ascii="Calibri" w:hAnsi="Calibri"/>
          <w:b/>
          <w:i w:val="0"/>
          <w:color w:val="102B4E"/>
          <w:sz w:val="22"/>
        </w:rPr>
        <w:t xml:space="preserve">No Real-Time Administrative Telemetry: </w:t>
      </w:r>
      <w:r>
        <w:rPr>
          <w:rFonts w:ascii="Calibri" w:hAnsi="Calibri"/>
          <w:b w:val="0"/>
          <w:i w:val="0"/>
          <w:color w:val="17283D"/>
          <w:sz w:val="22"/>
        </w:rPr>
        <w:t>Admissions teams must manually refresh database views or wait for nightly email batches to learn of new applicants.</w:t>
      </w:r>
    </w:p>
    <w:p>
      <w:pPr>
        <w:pStyle w:val="ListBullet"/>
        <w:spacing w:before="0" w:after="60" w:line="276" w:lineRule="auto"/>
      </w:pPr>
      <w:r>
        <w:rPr>
          <w:rFonts w:ascii="Calibri" w:hAnsi="Calibri"/>
          <w:b/>
          <w:i w:val="0"/>
          <w:color w:val="102B4E"/>
          <w:sz w:val="22"/>
        </w:rPr>
        <w:t xml:space="preserve">Opaque Merit Cutoffs: </w:t>
      </w:r>
      <w:r>
        <w:rPr>
          <w:rFonts w:ascii="Calibri" w:hAnsi="Calibri"/>
          <w:b w:val="0"/>
          <w:i w:val="0"/>
          <w:color w:val="17283D"/>
          <w:sz w:val="22"/>
        </w:rPr>
        <w:t>Students submit applications without knowing whether their scores meet minimum department thresholds.</w:t>
      </w:r>
    </w:p>
    <w:p>
      <w:pPr>
        <w:pStyle w:val="ListBullet"/>
        <w:spacing w:before="0" w:after="60" w:line="276" w:lineRule="auto"/>
      </w:pPr>
      <w:r>
        <w:rPr>
          <w:rFonts w:ascii="Calibri" w:hAnsi="Calibri"/>
          <w:b/>
          <w:i w:val="0"/>
          <w:color w:val="102B4E"/>
          <w:sz w:val="22"/>
        </w:rPr>
        <w:t xml:space="preserve">Vulnerable Data Storage: </w:t>
      </w:r>
      <w:r>
        <w:rPr>
          <w:rFonts w:ascii="Calibri" w:hAnsi="Calibri"/>
          <w:b w:val="0"/>
          <w:i w:val="0"/>
          <w:color w:val="17283D"/>
          <w:sz w:val="22"/>
        </w:rPr>
        <w:t>Insecure storage of student phone numbers and plain-text passwords without cryptographic salting.</w:t>
      </w:r>
    </w:p>
    <w:p>
      <w:pPr>
        <w:keepNext/>
        <w:spacing w:before="240" w:after="80"/>
      </w:pPr>
      <w:r>
        <w:rPr>
          <w:rFonts w:ascii="Calibri" w:hAnsi="Calibri"/>
          <w:b/>
          <w:i w:val="0"/>
          <w:color w:val="1458A6"/>
          <w:sz w:val="26"/>
        </w:rPr>
        <w:t>2.3 Comparative Matrix: Legacy Systems vs CUTM AI Portal</w:t>
      </w:r>
    </w:p>
    <w:tbl>
      <w:tblPr>
        <w:tblW w:type="auto" w:w="0"/>
        <w:jc w:val="center"/>
        <w:tblLook w:firstColumn="1" w:firstRow="1" w:lastColumn="0" w:lastRow="0" w:noHBand="0" w:noVBand="1" w:val="04A0"/>
      </w:tblPr>
      <w:tblGrid>
        <w:gridCol w:w="3120"/>
        <w:gridCol w:w="3120"/>
        <w:gridCol w:w="3120"/>
      </w:tblGrid>
      <w:tr>
        <w:tc>
          <w:tcPr>
            <w:tcW w:type="dxa" w:w="2592"/>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Evaluation Metric</w:t>
            </w:r>
          </w:p>
        </w:tc>
        <w:tc>
          <w:tcPr>
            <w:tcW w:type="dxa" w:w="3312"/>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Legacy University Web Portals</w:t>
            </w:r>
          </w:p>
        </w:tc>
        <w:tc>
          <w:tcPr>
            <w:tcW w:type="dxa" w:w="3456"/>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CUTM AI-Enabled Portal (Proposed)</w:t>
            </w:r>
          </w:p>
        </w:tc>
      </w:tr>
      <w:tr>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Admissions Workflow</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Static text forms, manual spreadsheet entry</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Automated pipeline with instant CUTM-XXXXXX tracking ID</w:t>
            </w:r>
          </w:p>
        </w:tc>
      </w:tr>
      <w:tr>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Merit &amp; Scholarship</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No predictive feedback; manual brochure lookup</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AI evaluator calculating probability &amp; 25%-100% scholarship tiers</w:t>
            </w:r>
          </w:p>
        </w:tc>
      </w:tr>
      <w:tr>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Counselor Awareness</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Manual checks or 24h batch email digests</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Real-time 10s auto-polling, audio chime &amp; slide-in toast alerts</w:t>
            </w:r>
          </w:p>
        </w:tc>
      </w:tr>
      <w:tr>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Outreach Channels</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Manual copying of telephone numbers</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1-click direct WhatsApp Web chat (wa.me) &amp; click-to-call</w:t>
            </w:r>
          </w:p>
        </w:tc>
      </w:tr>
      <w:tr>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Applicant Data Export</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Requires complex SQL or DBA intervention</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1-click Export to CSV compatible with Microsoft Excel</w:t>
            </w:r>
          </w:p>
        </w:tc>
      </w:tr>
      <w:tr>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User Authentication</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Single hardcoded admin or plain password</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Dual-tab Portal (Sign In/Register) with salted hash &amp; JWT</w:t>
            </w:r>
          </w:p>
        </w:tc>
      </w:tr>
      <w:tr>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Chatbot Assistance</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Static FAQ text or external expensive SaaS</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Self-hosted 24/7 AI university assistant responding instantly</w:t>
            </w:r>
          </w:p>
        </w:tc>
      </w:tr>
      <w:tr>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Page Load Speed</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Average 3.5s to 5.2s (heavy frameworks)</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Sub-100ms API responses, zero heavy framework lock-in</w:t>
            </w:r>
          </w:p>
        </w:tc>
      </w:tr>
    </w:tbl>
    <w:p>
      <w:pPr>
        <w:spacing w:after="80"/>
      </w:pPr>
    </w:p>
    <w:p>
      <w:pPr>
        <w:keepNext/>
        <w:spacing w:before="320" w:after="120"/>
      </w:pPr>
      <w:r>
        <w:rPr>
          <w:rFonts w:ascii="Calibri" w:hAnsi="Calibri"/>
          <w:b/>
          <w:i w:val="0"/>
          <w:color w:val="102B4E"/>
          <w:sz w:val="32"/>
        </w:rPr>
        <w:t>CHAPTER 3: SYSTEM REQUIREMENTS &amp; FEASIBILITY ANALYSIS</w:t>
      </w:r>
    </w:p>
    <w:p>
      <w:pPr>
        <w:keepNext/>
        <w:spacing w:before="240" w:after="80"/>
      </w:pPr>
      <w:r>
        <w:rPr>
          <w:rFonts w:ascii="Calibri" w:hAnsi="Calibri"/>
          <w:b/>
          <w:i w:val="0"/>
          <w:color w:val="1458A6"/>
          <w:sz w:val="26"/>
        </w:rPr>
        <w:t>3.1 Environmental &amp; Hardware Specifications</w:t>
      </w:r>
    </w:p>
    <w:p>
      <w:pPr>
        <w:pStyle w:val="ListBullet"/>
        <w:spacing w:before="0" w:after="60" w:line="276" w:lineRule="auto"/>
      </w:pPr>
      <w:r>
        <w:rPr>
          <w:rFonts w:ascii="Calibri" w:hAnsi="Calibri"/>
          <w:b/>
          <w:i w:val="0"/>
          <w:color w:val="102B4E"/>
          <w:sz w:val="22"/>
        </w:rPr>
        <w:t xml:space="preserve">Server Environment: </w:t>
      </w:r>
      <w:r>
        <w:rPr>
          <w:rFonts w:ascii="Calibri" w:hAnsi="Calibri"/>
          <w:b w:val="0"/>
          <w:i w:val="0"/>
          <w:color w:val="17283D"/>
          <w:sz w:val="22"/>
        </w:rPr>
        <w:t>Processor: 2.0 GHz Quad-Core or higher; Memory: 4 GB RAM minimum (8 GB recommended); Storage: 20 GB SSD.</w:t>
      </w:r>
    </w:p>
    <w:p>
      <w:pPr>
        <w:pStyle w:val="ListBullet"/>
        <w:spacing w:before="0" w:after="60" w:line="276" w:lineRule="auto"/>
      </w:pPr>
      <w:r>
        <w:rPr>
          <w:rFonts w:ascii="Calibri" w:hAnsi="Calibri"/>
          <w:b/>
          <w:i w:val="0"/>
          <w:color w:val="102B4E"/>
          <w:sz w:val="22"/>
        </w:rPr>
        <w:t xml:space="preserve">Client Requirements: </w:t>
      </w:r>
      <w:r>
        <w:rPr>
          <w:rFonts w:ascii="Calibri" w:hAnsi="Calibri"/>
          <w:b w:val="0"/>
          <w:i w:val="0"/>
          <w:color w:val="17283D"/>
          <w:sz w:val="22"/>
        </w:rPr>
        <w:t>Any modern HTML5-compliant web browser (Google Chrome, Microsoft Edge, Mozilla Firefox, Apple Safari) on mobile, tablet, or desktop.</w:t>
      </w:r>
    </w:p>
    <w:p>
      <w:pPr>
        <w:pStyle w:val="ListBullet"/>
        <w:spacing w:before="0" w:after="60" w:line="276" w:lineRule="auto"/>
      </w:pPr>
      <w:r>
        <w:rPr>
          <w:rFonts w:ascii="Calibri" w:hAnsi="Calibri"/>
          <w:b/>
          <w:i w:val="0"/>
          <w:color w:val="102B4E"/>
          <w:sz w:val="22"/>
        </w:rPr>
        <w:t xml:space="preserve">Network: </w:t>
      </w:r>
      <w:r>
        <w:rPr>
          <w:rFonts w:ascii="Calibri" w:hAnsi="Calibri"/>
          <w:b w:val="0"/>
          <w:i w:val="0"/>
          <w:color w:val="17283D"/>
          <w:sz w:val="22"/>
        </w:rPr>
        <w:t>Standard broadband or cellular connection (optimally loaded under 256 kbps due to asset optimization).</w:t>
      </w:r>
    </w:p>
    <w:p>
      <w:pPr>
        <w:keepNext/>
        <w:spacing w:before="240" w:after="80"/>
      </w:pPr>
      <w:r>
        <w:rPr>
          <w:rFonts w:ascii="Calibri" w:hAnsi="Calibri"/>
          <w:b/>
          <w:i w:val="0"/>
          <w:color w:val="1458A6"/>
          <w:sz w:val="26"/>
        </w:rPr>
        <w:t>3.2 Software Technology Stack</w:t>
      </w:r>
    </w:p>
    <w:tbl>
      <w:tblPr>
        <w:tblW w:type="auto" w:w="0"/>
        <w:jc w:val="center"/>
        <w:tblLook w:firstColumn="1" w:firstRow="1" w:lastColumn="0" w:lastRow="0" w:noHBand="0" w:noVBand="1" w:val="04A0"/>
      </w:tblPr>
      <w:tblGrid>
        <w:gridCol w:w="3120"/>
        <w:gridCol w:w="3120"/>
        <w:gridCol w:w="3120"/>
      </w:tblGrid>
      <w:tr>
        <w:tc>
          <w:tcPr>
            <w:tcW w:type="dxa" w:w="2304"/>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Layer / Subsystem</w:t>
            </w:r>
          </w:p>
        </w:tc>
        <w:tc>
          <w:tcPr>
            <w:tcW w:type="dxa" w:w="2880"/>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Technology / Library</w:t>
            </w:r>
          </w:p>
        </w:tc>
        <w:tc>
          <w:tcPr>
            <w:tcW w:type="dxa" w:w="4176"/>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Role &amp; Justification</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Backend Runtime</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Python 3.14 / 3.12</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High developer productivity, robust standard library, strong security primitives.</w:t>
            </w:r>
          </w:p>
        </w:tc>
      </w:tr>
      <w:tr>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Web Microframework</w:t>
            </w:r>
          </w:p>
        </w:tc>
        <w:tc>
          <w:tcPr>
            <w:tcW w:type="dxa" w:w="288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Flask 3.1.3</w:t>
            </w:r>
          </w:p>
        </w:tc>
        <w:tc>
          <w:tcPr>
            <w:tcW w:type="dxa" w:w="417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Lightweight, non-opinionated WSGI framework providing fast routing and JSON serialization.</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Database Engine</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SQLite 3 (university.db)</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Zero-configuration, serverless, transactional embedded ACID-compliant relational storage.</w:t>
            </w:r>
          </w:p>
        </w:tc>
      </w:tr>
      <w:tr>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Security &amp; Hashing</w:t>
            </w:r>
          </w:p>
        </w:tc>
        <w:tc>
          <w:tcPr>
            <w:tcW w:type="dxa" w:w="288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Werkzeug 3.1.9 Security</w:t>
            </w:r>
          </w:p>
        </w:tc>
        <w:tc>
          <w:tcPr>
            <w:tcW w:type="dxa" w:w="417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Industry-standard salted scrypt/PBKDF2 cryptographic password hashing.</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Authorization</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PyJWT 2.15.1</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Stateless, digitally signed JSON Web Tokens (HS256) for secure admin sessions.</w:t>
            </w:r>
          </w:p>
        </w:tc>
      </w:tr>
      <w:tr>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Frontend Presentation</w:t>
            </w:r>
          </w:p>
        </w:tc>
        <w:tc>
          <w:tcPr>
            <w:tcW w:type="dxa" w:w="288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Semantic HTML5 &amp; Modern CSS3</w:t>
            </w:r>
          </w:p>
        </w:tc>
        <w:tc>
          <w:tcPr>
            <w:tcW w:type="dxa" w:w="417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Fastest rendering speed, zero compilation overhead, native CSS custom variables.</w:t>
            </w:r>
          </w:p>
        </w:tc>
      </w:tr>
      <w:tr>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Frontend Dynamics</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Vanilla ECMAScript 2022+ (ES6)</w:t>
            </w:r>
          </w:p>
        </w:tc>
        <w:tc>
          <w:tcPr>
            <w:tcW w:type="dxa" w:w="417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Modern async/await fetch API, Web Audio API chime synthesis, DOM updates.</w:t>
            </w:r>
          </w:p>
        </w:tc>
      </w:tr>
      <w:tr>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Visual Charts</w:t>
            </w:r>
          </w:p>
        </w:tc>
        <w:tc>
          <w:tcPr>
            <w:tcW w:type="dxa" w:w="288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Chart.js 4.x (CDN)</w:t>
            </w:r>
          </w:p>
        </w:tc>
        <w:tc>
          <w:tcPr>
            <w:tcW w:type="dxa" w:w="417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Responsive, hardware-accelerated HTML5 canvas charts for department statistics.</w:t>
            </w:r>
          </w:p>
        </w:tc>
      </w:tr>
    </w:tbl>
    <w:p>
      <w:pPr>
        <w:spacing w:after="80"/>
      </w:pPr>
    </w:p>
    <w:p>
      <w:pPr>
        <w:keepNext/>
        <w:spacing w:before="240" w:after="80"/>
      </w:pPr>
      <w:r>
        <w:rPr>
          <w:rFonts w:ascii="Calibri" w:hAnsi="Calibri"/>
          <w:b/>
          <w:i w:val="0"/>
          <w:color w:val="1458A6"/>
          <w:sz w:val="26"/>
        </w:rPr>
        <w:t>3.3 Functional &amp; Non-Functional Requirements</w:t>
      </w:r>
    </w:p>
    <w:p>
      <w:pPr>
        <w:spacing w:before="0" w:after="120" w:line="276" w:lineRule="auto"/>
      </w:pPr>
      <w:r>
        <w:rPr>
          <w:rFonts w:ascii="Calibri" w:hAnsi="Calibri"/>
          <w:b w:val="0"/>
          <w:i w:val="0"/>
          <w:color w:val="17283D"/>
          <w:sz w:val="22"/>
        </w:rPr>
        <w:t>Functional requirements ensure that students can explore programs, calculate merit probability, and submit admission forms, while counselors can monitor, verify, and export leads. Non-functional requirements enforce sub-100ms API response latency, 99.9% uptime, parameterized SQL injection immunity, and full responsive scalability.</w:t>
      </w:r>
    </w:p>
    <w:p>
      <w:pPr>
        <w:keepNext/>
        <w:spacing w:before="320" w:after="120"/>
      </w:pPr>
      <w:r>
        <w:rPr>
          <w:rFonts w:ascii="Calibri" w:hAnsi="Calibri"/>
          <w:b/>
          <w:i w:val="0"/>
          <w:color w:val="102B4E"/>
          <w:sz w:val="32"/>
        </w:rPr>
        <w:t>CHAPTER 4: SYSTEM ARCHITECTURE &amp; TECHNICAL DESIGN</w:t>
      </w:r>
    </w:p>
    <w:p>
      <w:pPr>
        <w:keepNext/>
        <w:spacing w:before="240" w:after="80"/>
      </w:pPr>
      <w:r>
        <w:rPr>
          <w:rFonts w:ascii="Calibri" w:hAnsi="Calibri"/>
          <w:b/>
          <w:i w:val="0"/>
          <w:color w:val="1458A6"/>
          <w:sz w:val="26"/>
        </w:rPr>
        <w:t>4.1 3-Tier Decoupled Architecture</w:t>
      </w:r>
    </w:p>
    <w:p>
      <w:pPr>
        <w:spacing w:before="0" w:after="120" w:line="276" w:lineRule="auto"/>
      </w:pPr>
      <w:r>
        <w:rPr>
          <w:rFonts w:ascii="Calibri" w:hAnsi="Calibri"/>
          <w:b w:val="0"/>
          <w:i w:val="0"/>
          <w:color w:val="17283D"/>
          <w:sz w:val="22"/>
        </w:rPr>
        <w:t>The platform adopts a decoupled 3-tier architecture separating Presentation, Business Logic, and Data Persistence layers:</w:t>
      </w:r>
    </w:p>
    <w:p>
      <w:pPr>
        <w:pStyle w:val="ListBullet"/>
        <w:spacing w:before="0" w:after="60" w:line="276" w:lineRule="auto"/>
      </w:pPr>
      <w:r>
        <w:rPr>
          <w:rFonts w:ascii="Calibri" w:hAnsi="Calibri"/>
          <w:b/>
          <w:i w:val="0"/>
          <w:color w:val="102B4E"/>
          <w:sz w:val="22"/>
        </w:rPr>
        <w:t xml:space="preserve">Tier 1: Presentation Layer (Client Browser): </w:t>
      </w:r>
      <w:r>
        <w:rPr>
          <w:rFonts w:ascii="Calibri" w:hAnsi="Calibri"/>
          <w:b w:val="0"/>
          <w:i w:val="0"/>
          <w:color w:val="17283D"/>
          <w:sz w:val="22"/>
        </w:rPr>
        <w:t>Delivers responsive web views (index.html, admissions.html, courses.html, dashboard.html, login.html) utilizing semantic HTML, CSS design tokens, and modular vanilla JavaScript.</w:t>
      </w:r>
    </w:p>
    <w:p>
      <w:pPr>
        <w:pStyle w:val="ListBullet"/>
        <w:spacing w:before="0" w:after="60" w:line="276" w:lineRule="auto"/>
      </w:pPr>
      <w:r>
        <w:rPr>
          <w:rFonts w:ascii="Calibri" w:hAnsi="Calibri"/>
          <w:b/>
          <w:i w:val="0"/>
          <w:color w:val="102B4E"/>
          <w:sz w:val="22"/>
        </w:rPr>
        <w:t xml:space="preserve">Tier 2: Application Tier (Python / Flask Engine): </w:t>
      </w:r>
      <w:r>
        <w:rPr>
          <w:rFonts w:ascii="Calibri" w:hAnsi="Calibri"/>
          <w:b w:val="0"/>
          <w:i w:val="0"/>
          <w:color w:val="17283D"/>
          <w:sz w:val="22"/>
        </w:rPr>
        <w:t>Dispatches incoming HTTP requests, validates payloads, enforces JWT role authorization, executes merit scoring algorithms, and handles real-time polling telemetry.</w:t>
      </w:r>
    </w:p>
    <w:p>
      <w:pPr>
        <w:pStyle w:val="ListBullet"/>
        <w:spacing w:before="0" w:after="60" w:line="276" w:lineRule="auto"/>
      </w:pPr>
      <w:r>
        <w:rPr>
          <w:rFonts w:ascii="Calibri" w:hAnsi="Calibri"/>
          <w:b/>
          <w:i w:val="0"/>
          <w:color w:val="102B4E"/>
          <w:sz w:val="22"/>
        </w:rPr>
        <w:t xml:space="preserve">Tier 3: Data Tier (SQLite Database Engine): </w:t>
      </w:r>
      <w:r>
        <w:rPr>
          <w:rFonts w:ascii="Calibri" w:hAnsi="Calibri"/>
          <w:b w:val="0"/>
          <w:i w:val="0"/>
          <w:color w:val="17283D"/>
          <w:sz w:val="22"/>
        </w:rPr>
        <w:t>Maintains ACID compliance across users, leads, events, event_registrations, and app_settings tables with foreign keys and parameterized SQL safety.</w:t>
      </w:r>
    </w:p>
    <w:p>
      <w:pPr>
        <w:keepNext/>
        <w:spacing w:before="240" w:after="80"/>
      </w:pPr>
      <w:r>
        <w:rPr>
          <w:rFonts w:ascii="Calibri" w:hAnsi="Calibri"/>
          <w:b/>
          <w:i w:val="0"/>
          <w:color w:val="1458A6"/>
          <w:sz w:val="26"/>
        </w:rPr>
        <w:t>4.2 RESTful API Specification Map</w:t>
      </w:r>
    </w:p>
    <w:tbl>
      <w:tblPr>
        <w:tblW w:type="auto" w:w="0"/>
        <w:jc w:val="center"/>
        <w:tblLook w:firstColumn="1" w:firstRow="1" w:lastColumn="0" w:lastRow="0" w:noHBand="0" w:noVBand="1" w:val="04A0"/>
      </w:tblPr>
      <w:tblGrid>
        <w:gridCol w:w="2340"/>
        <w:gridCol w:w="2340"/>
        <w:gridCol w:w="2340"/>
        <w:gridCol w:w="2340"/>
      </w:tblGrid>
      <w:tr>
        <w:tc>
          <w:tcPr>
            <w:tcW w:type="dxa" w:w="1584"/>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HTTP Method</w:t>
            </w:r>
          </w:p>
        </w:tc>
        <w:tc>
          <w:tcPr>
            <w:tcW w:type="dxa" w:w="2592"/>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Endpoint URI</w:t>
            </w:r>
          </w:p>
        </w:tc>
        <w:tc>
          <w:tcPr>
            <w:tcW w:type="dxa" w:w="1872"/>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Access Guard</w:t>
            </w:r>
          </w:p>
        </w:tc>
        <w:tc>
          <w:tcPr>
            <w:tcW w:type="dxa" w:w="3312"/>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Payload &amp; Functionality</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POST</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/register</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JSON (name, username, email, phone, password, role). Creates account &amp; issues JWT.</w:t>
            </w:r>
          </w:p>
        </w:tc>
      </w:tr>
      <w:tr>
        <w:tc>
          <w:tcPr>
            <w:tcW w:type="dxa" w:w="158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POST</w:t>
            </w:r>
          </w:p>
        </w:tc>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/login</w:t>
            </w:r>
          </w:p>
        </w:tc>
        <w:tc>
          <w:tcPr>
            <w:tcW w:type="dxa" w:w="187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JSON (username/email, password). Validates credentials &amp; issues Bearer token.</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GET</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/api/me</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Bearer JWT</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Returns authenticated user payload (id, name, username, role, email).</w:t>
            </w:r>
          </w:p>
        </w:tc>
      </w:tr>
      <w:tr>
        <w:tc>
          <w:tcPr>
            <w:tcW w:type="dxa" w:w="158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POST</w:t>
            </w:r>
          </w:p>
        </w:tc>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/lead</w:t>
            </w:r>
          </w:p>
        </w:tc>
        <w:tc>
          <w:tcPr>
            <w:tcW w:type="dxa" w:w="187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JSON applicant form. Computes score, assigns CUTM-XXXXXX, logs to console, saves DB.</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GET</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/leads</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Admin JWT</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Returns full list of admission inquiries with AI score, status, and contact info.</w:t>
            </w:r>
          </w:p>
        </w:tc>
      </w:tr>
      <w:tr>
        <w:tc>
          <w:tcPr>
            <w:tcW w:type="dxa" w:w="158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GET</w:t>
            </w:r>
          </w:p>
        </w:tc>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/api/application-status/&lt;q&gt;</w:t>
            </w:r>
          </w:p>
        </w:tc>
        <w:tc>
          <w:tcPr>
            <w:tcW w:type="dxa" w:w="187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Query by Ref ID or Phone. Returns admission verification status.</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POST</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/predict</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JSON (marks, course). Returns admission chance tier and Chancellor scholarship waiver.</w:t>
            </w:r>
          </w:p>
        </w:tc>
      </w:tr>
      <w:tr>
        <w:tc>
          <w:tcPr>
            <w:tcW w:type="dxa" w:w="158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GET</w:t>
            </w:r>
          </w:p>
        </w:tc>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/api/courses</w:t>
            </w:r>
          </w:p>
        </w:tc>
        <w:tc>
          <w:tcPr>
            <w:tcW w:type="dxa" w:w="187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Returns full catalog of 8 academic programs, duration, seats, and fees.</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PUT</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/update/&lt;phone&gt;</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Admin JWT</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Updates lead status (New, Contacted, Verified, Confirmed, Rejected).</w:t>
            </w:r>
          </w:p>
        </w:tc>
      </w:tr>
      <w:tr>
        <w:tc>
          <w:tcPr>
            <w:tcW w:type="dxa" w:w="158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DELETE</w:t>
            </w:r>
          </w:p>
        </w:tc>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/delete/&lt;phone&gt;</w:t>
            </w:r>
          </w:p>
        </w:tc>
        <w:tc>
          <w:tcPr>
            <w:tcW w:type="dxa" w:w="187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Admin JWT</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Permanently deletes applicant lead record from SQLite database.</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GET / POST</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/events</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 / Admin</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Lists campus events (GET); creates new Conference/Workshop (POST).</w:t>
            </w:r>
          </w:p>
        </w:tc>
      </w:tr>
      <w:tr>
        <w:tc>
          <w:tcPr>
            <w:tcW w:type="dxa" w:w="158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PUT / DELETE</w:t>
            </w:r>
          </w:p>
        </w:tc>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/events/&lt;id&gt;</w:t>
            </w:r>
          </w:p>
        </w:tc>
        <w:tc>
          <w:tcPr>
            <w:tcW w:type="dxa" w:w="187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Admin JWT</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Updates or deletes an existing university campus event.</w:t>
            </w:r>
          </w:p>
        </w:tc>
      </w:tr>
      <w:tr>
        <w:tc>
          <w:tcPr>
            <w:tcW w:type="dxa" w:w="158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POST</w:t>
            </w:r>
          </w:p>
        </w:tc>
        <w:tc>
          <w:tcPr>
            <w:tcW w:type="dxa" w:w="259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/registrations</w:t>
            </w:r>
          </w:p>
        </w:tc>
        <w:tc>
          <w:tcPr>
            <w:tcW w:type="dxa" w:w="187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w:t>
            </w:r>
          </w:p>
        </w:tc>
        <w:tc>
          <w:tcPr>
            <w:tcW w:type="dxa" w:w="3312"/>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Registers attendee for a specific event with email/phone verification.</w:t>
            </w:r>
          </w:p>
        </w:tc>
      </w:tr>
      <w:tr>
        <w:tc>
          <w:tcPr>
            <w:tcW w:type="dxa" w:w="158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POST</w:t>
            </w:r>
          </w:p>
        </w:tc>
        <w:tc>
          <w:tcPr>
            <w:tcW w:type="dxa" w:w="259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/chat</w:t>
            </w:r>
          </w:p>
        </w:tc>
        <w:tc>
          <w:tcPr>
            <w:tcW w:type="dxa" w:w="187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Public</w:t>
            </w:r>
          </w:p>
        </w:tc>
        <w:tc>
          <w:tcPr>
            <w:tcW w:type="dxa" w:w="3312"/>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JSON user message. Generates instant FAQ answers or routes to AI completion.</w:t>
            </w:r>
          </w:p>
        </w:tc>
      </w:tr>
    </w:tbl>
    <w:p>
      <w:pPr>
        <w:spacing w:after="80"/>
      </w:pPr>
    </w:p>
    <w:p>
      <w:pPr>
        <w:keepNext/>
        <w:spacing w:before="320" w:after="120"/>
      </w:pPr>
      <w:r>
        <w:rPr>
          <w:rFonts w:ascii="Calibri" w:hAnsi="Calibri"/>
          <w:b/>
          <w:i w:val="0"/>
          <w:color w:val="102B4E"/>
          <w:sz w:val="32"/>
        </w:rPr>
        <w:t>CHAPTER 5: DATABASE DESIGN &amp; SCHEMA SPECIFICATIONS</w:t>
      </w:r>
    </w:p>
    <w:p>
      <w:pPr>
        <w:keepNext/>
        <w:spacing w:before="240" w:after="80"/>
      </w:pPr>
      <w:r>
        <w:rPr>
          <w:rFonts w:ascii="Calibri" w:hAnsi="Calibri"/>
          <w:b/>
          <w:i w:val="0"/>
          <w:color w:val="1458A6"/>
          <w:sz w:val="26"/>
        </w:rPr>
        <w:t>5.1 Relational Architecture in SQLite</w:t>
      </w:r>
    </w:p>
    <w:p>
      <w:pPr>
        <w:spacing w:before="0" w:after="120" w:line="276" w:lineRule="auto"/>
      </w:pPr>
      <w:r>
        <w:rPr>
          <w:rFonts w:ascii="Calibri" w:hAnsi="Calibri"/>
          <w:b w:val="0"/>
          <w:i w:val="0"/>
          <w:color w:val="17283D"/>
          <w:sz w:val="22"/>
        </w:rPr>
        <w:t>SQLite was selected for its exceptional operational simplicity, zero network overhead, ACID compliance, and robust reliability in embedded and single-server environments. The database is stored at backend/data/university.db and automatically initialized on server launch.</w:t>
      </w:r>
    </w:p>
    <w:p>
      <w:pPr>
        <w:keepNext/>
        <w:spacing w:before="240" w:after="80"/>
      </w:pPr>
      <w:r>
        <w:rPr>
          <w:rFonts w:ascii="Calibri" w:hAnsi="Calibri"/>
          <w:b/>
          <w:i w:val="0"/>
          <w:color w:val="1458A6"/>
          <w:sz w:val="26"/>
        </w:rPr>
        <w:t>5.2 Schema Specification: Table `users`</w:t>
      </w:r>
    </w:p>
    <w:p>
      <w:pPr>
        <w:spacing w:before="0" w:after="120" w:line="276" w:lineRule="auto"/>
      </w:pPr>
      <w:r>
        <w:rPr>
          <w:rFonts w:ascii="Calibri" w:hAnsi="Calibri"/>
          <w:b w:val="0"/>
          <w:i w:val="0"/>
          <w:color w:val="17283D"/>
          <w:sz w:val="22"/>
        </w:rPr>
        <w:t>The `users` table manages registered students, applicants, faculty, and administrative staff accounts:</w:t>
      </w:r>
    </w:p>
    <w:tbl>
      <w:tblPr>
        <w:tblW w:type="auto" w:w="0"/>
        <w:jc w:val="center"/>
        <w:tblLook w:firstColumn="1" w:firstRow="1" w:lastColumn="0" w:lastRow="0" w:noHBand="0" w:noVBand="1" w:val="04A0"/>
      </w:tblPr>
      <w:tblGrid>
        <w:gridCol w:w="2340"/>
        <w:gridCol w:w="2340"/>
        <w:gridCol w:w="2340"/>
        <w:gridCol w:w="2340"/>
      </w:tblGrid>
      <w:tr>
        <w:tc>
          <w:tcPr>
            <w:tcW w:type="dxa" w:w="2016"/>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Field Name</w:t>
            </w:r>
          </w:p>
        </w:tc>
        <w:tc>
          <w:tcPr>
            <w:tcW w:type="dxa" w:w="1728"/>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Data Type</w:t>
            </w:r>
          </w:p>
        </w:tc>
        <w:tc>
          <w:tcPr>
            <w:tcW w:type="dxa" w:w="2160"/>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Constraint</w:t>
            </w:r>
          </w:p>
        </w:tc>
        <w:tc>
          <w:tcPr>
            <w:tcW w:type="dxa" w:w="3456"/>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Description</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id</w:t>
            </w:r>
          </w:p>
        </w:tc>
        <w:tc>
          <w:tcPr>
            <w:tcW w:type="dxa" w:w="172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INTEGER</w:t>
            </w:r>
          </w:p>
        </w:tc>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PRIMARY KEY AUTOINCREMENT</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Unique system identifier for the account</w:t>
            </w:r>
          </w:p>
        </w:tc>
      </w:tr>
      <w:tr>
        <w:tc>
          <w:tcPr>
            <w:tcW w:type="dxa" w:w="201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username</w:t>
            </w:r>
          </w:p>
        </w:tc>
        <w:tc>
          <w:tcPr>
            <w:tcW w:type="dxa" w:w="172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TEXT</w:t>
            </w:r>
          </w:p>
        </w:tc>
        <w:tc>
          <w:tcPr>
            <w:tcW w:type="dxa" w:w="216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UNIQUE NOT NULL</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Unique alphanumeric login handle (3-30 chars)</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email</w:t>
            </w:r>
          </w:p>
        </w:tc>
        <w:tc>
          <w:tcPr>
            <w:tcW w:type="dxa" w:w="172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TEXT</w:t>
            </w:r>
          </w:p>
        </w:tc>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UNIQUE NOT NULL</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Primary contact email address used for login</w:t>
            </w:r>
          </w:p>
        </w:tc>
      </w:tr>
      <w:tr>
        <w:tc>
          <w:tcPr>
            <w:tcW w:type="dxa" w:w="201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phone</w:t>
            </w:r>
          </w:p>
        </w:tc>
        <w:tc>
          <w:tcPr>
            <w:tcW w:type="dxa" w:w="172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TEXT</w:t>
            </w:r>
          </w:p>
        </w:tc>
        <w:tc>
          <w:tcPr>
            <w:tcW w:type="dxa" w:w="216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NULLABLE</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10-digit mobile number for SMS and counseling</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name</w:t>
            </w:r>
          </w:p>
        </w:tc>
        <w:tc>
          <w:tcPr>
            <w:tcW w:type="dxa" w:w="172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TEXT</w:t>
            </w:r>
          </w:p>
        </w:tc>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NOT NULL</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Full legal name of the user</w:t>
            </w:r>
          </w:p>
        </w:tc>
      </w:tr>
      <w:tr>
        <w:tc>
          <w:tcPr>
            <w:tcW w:type="dxa" w:w="201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password_hash</w:t>
            </w:r>
          </w:p>
        </w:tc>
        <w:tc>
          <w:tcPr>
            <w:tcW w:type="dxa" w:w="172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TEXT</w:t>
            </w:r>
          </w:p>
        </w:tc>
        <w:tc>
          <w:tcPr>
            <w:tcW w:type="dxa" w:w="216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NOT NULL</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Salted cryptographic hash generated by Werkzeug</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role</w:t>
            </w:r>
          </w:p>
        </w:tc>
        <w:tc>
          <w:tcPr>
            <w:tcW w:type="dxa" w:w="172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TEXT</w:t>
            </w:r>
          </w:p>
        </w:tc>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NOT NULL DEFAULT 'student'</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User role: 'student' or 'admin'</w:t>
            </w:r>
          </w:p>
        </w:tc>
      </w:tr>
      <w:tr>
        <w:tc>
          <w:tcPr>
            <w:tcW w:type="dxa" w:w="201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created_at</w:t>
            </w:r>
          </w:p>
        </w:tc>
        <w:tc>
          <w:tcPr>
            <w:tcW w:type="dxa" w:w="172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TEXT</w:t>
            </w:r>
          </w:p>
        </w:tc>
        <w:tc>
          <w:tcPr>
            <w:tcW w:type="dxa" w:w="216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NOT NULL</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ISO 8601 UTC timestamp of registration</w:t>
            </w:r>
          </w:p>
        </w:tc>
      </w:tr>
    </w:tbl>
    <w:p>
      <w:pPr>
        <w:spacing w:after="80"/>
      </w:pPr>
    </w:p>
    <w:p>
      <w:pPr>
        <w:keepNext/>
        <w:spacing w:before="240" w:after="80"/>
      </w:pPr>
      <w:r>
        <w:rPr>
          <w:rFonts w:ascii="Calibri" w:hAnsi="Calibri"/>
          <w:b/>
          <w:i w:val="0"/>
          <w:color w:val="1458A6"/>
          <w:sz w:val="26"/>
        </w:rPr>
        <w:t>5.3 Schema Specification: Table `leads`</w:t>
      </w:r>
    </w:p>
    <w:p>
      <w:pPr>
        <w:spacing w:before="0" w:after="120" w:line="276" w:lineRule="auto"/>
      </w:pPr>
      <w:r>
        <w:rPr>
          <w:rFonts w:ascii="Calibri" w:hAnsi="Calibri"/>
          <w:b w:val="0"/>
          <w:i w:val="0"/>
          <w:color w:val="17283D"/>
          <w:sz w:val="22"/>
        </w:rPr>
        <w:t>The `leads` table stores admission applications and inquiry records:</w:t>
      </w:r>
    </w:p>
    <w:tbl>
      <w:tblPr>
        <w:tblW w:type="auto" w:w="0"/>
        <w:jc w:val="center"/>
        <w:tblLook w:firstColumn="1" w:firstRow="1" w:lastColumn="0" w:lastRow="0" w:noHBand="0" w:noVBand="1" w:val="04A0"/>
      </w:tblPr>
      <w:tblGrid>
        <w:gridCol w:w="2340"/>
        <w:gridCol w:w="2340"/>
        <w:gridCol w:w="2340"/>
        <w:gridCol w:w="2340"/>
      </w:tblGrid>
      <w:tr>
        <w:tc>
          <w:tcPr>
            <w:tcW w:type="dxa" w:w="2016"/>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Field Name</w:t>
            </w:r>
          </w:p>
        </w:tc>
        <w:tc>
          <w:tcPr>
            <w:tcW w:type="dxa" w:w="1728"/>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Data Type</w:t>
            </w:r>
          </w:p>
        </w:tc>
        <w:tc>
          <w:tcPr>
            <w:tcW w:type="dxa" w:w="2160"/>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Constraint</w:t>
            </w:r>
          </w:p>
        </w:tc>
        <w:tc>
          <w:tcPr>
            <w:tcW w:type="dxa" w:w="3456"/>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Description</w:t>
            </w:r>
          </w:p>
        </w:tc>
      </w:tr>
      <w:tr>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id</w:t>
            </w:r>
          </w:p>
        </w:tc>
        <w:tc>
          <w:tcPr>
            <w:tcW w:type="dxa" w:w="172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INTEGER</w:t>
            </w:r>
          </w:p>
        </w:tc>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PRIMARY KEY AUTOINCREMENT</w:t>
            </w:r>
          </w:p>
        </w:tc>
        <w:tc>
          <w:tcPr>
            <w:tcW w:type="dxa" w:w="345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Unique sequential record identifier</w:t>
            </w:r>
          </w:p>
        </w:tc>
      </w:tr>
      <w:tr>
        <w:tc>
          <w:tcPr>
            <w:tcW w:type="dxa" w:w="201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data</w:t>
            </w:r>
          </w:p>
        </w:tc>
        <w:tc>
          <w:tcPr>
            <w:tcW w:type="dxa" w:w="172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TEXT</w:t>
            </w:r>
          </w:p>
        </w:tc>
        <w:tc>
          <w:tcPr>
            <w:tcW w:type="dxa" w:w="216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NOT NULL</w:t>
            </w:r>
          </w:p>
        </w:tc>
        <w:tc>
          <w:tcPr>
            <w:tcW w:type="dxa" w:w="345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JSON string containing ref_id, name, email, phone, marks, course, department, score, city, state, message, status, created_at</w:t>
            </w:r>
          </w:p>
        </w:tc>
      </w:tr>
    </w:tbl>
    <w:p>
      <w:pPr>
        <w:spacing w:after="80"/>
      </w:pPr>
    </w:p>
    <w:p>
      <w:pPr>
        <w:keepNext/>
        <w:spacing w:before="320" w:after="120"/>
      </w:pPr>
      <w:r>
        <w:rPr>
          <w:rFonts w:ascii="Calibri" w:hAnsi="Calibri"/>
          <w:b/>
          <w:i w:val="0"/>
          <w:color w:val="102B4E"/>
          <w:sz w:val="32"/>
        </w:rPr>
        <w:t>CHAPTER 6: FUNCTIONAL MODULES &amp; ALGORITHMIC IMPLEMENTATION</w:t>
      </w:r>
    </w:p>
    <w:p>
      <w:pPr>
        <w:keepNext/>
        <w:spacing w:before="240" w:after="80"/>
      </w:pPr>
      <w:r>
        <w:rPr>
          <w:rFonts w:ascii="Calibri" w:hAnsi="Calibri"/>
          <w:b/>
          <w:i w:val="0"/>
          <w:color w:val="1458A6"/>
          <w:sz w:val="26"/>
        </w:rPr>
        <w:t>6.1 Multi-Faculty Academic Course Directory</w:t>
      </w:r>
    </w:p>
    <w:p>
      <w:pPr>
        <w:spacing w:before="0" w:after="120" w:line="276" w:lineRule="auto"/>
      </w:pPr>
      <w:r>
        <w:rPr>
          <w:rFonts w:ascii="Calibri" w:hAnsi="Calibri"/>
          <w:b w:val="0"/>
          <w:i w:val="0"/>
          <w:color w:val="17283D"/>
          <w:sz w:val="22"/>
        </w:rPr>
        <w:t>The course directory provides filterable, detailed programmatic breakdowns across 5 faculties and 8 major degree/diploma programs:</w:t>
      </w:r>
    </w:p>
    <w:p>
      <w:pPr>
        <w:pStyle w:val="ListBullet"/>
        <w:spacing w:before="0" w:after="60" w:line="276" w:lineRule="auto"/>
      </w:pPr>
      <w:r>
        <w:rPr>
          <w:rFonts w:ascii="Calibri" w:hAnsi="Calibri"/>
          <w:b/>
          <w:i w:val="0"/>
          <w:color w:val="102B4E"/>
          <w:sz w:val="22"/>
        </w:rPr>
        <w:t xml:space="preserve">1. B.Tech Computer Science &amp; Engineering (CSE): </w:t>
      </w:r>
      <w:r>
        <w:rPr>
          <w:rFonts w:ascii="Calibri" w:hAnsi="Calibri"/>
          <w:b w:val="0"/>
          <w:i w:val="0"/>
          <w:color w:val="17283D"/>
          <w:sz w:val="22"/>
        </w:rPr>
        <w:t>4 Years, 180 Seats, Annual Fee: ₹1,10,000. Focus on AI, Cloud, Full-Stack, Cyber Security with AWS &amp; IBM curriculum.</w:t>
      </w:r>
    </w:p>
    <w:p>
      <w:pPr>
        <w:pStyle w:val="ListBullet"/>
        <w:spacing w:before="0" w:after="60" w:line="276" w:lineRule="auto"/>
      </w:pPr>
      <w:r>
        <w:rPr>
          <w:rFonts w:ascii="Calibri" w:hAnsi="Calibri"/>
          <w:b/>
          <w:i w:val="0"/>
          <w:color w:val="102B4E"/>
          <w:sz w:val="22"/>
        </w:rPr>
        <w:t xml:space="preserve">2. B.Tech Electronics &amp; Communication (ECE): </w:t>
      </w:r>
      <w:r>
        <w:rPr>
          <w:rFonts w:ascii="Calibri" w:hAnsi="Calibri"/>
          <w:b w:val="0"/>
          <w:i w:val="0"/>
          <w:color w:val="17283D"/>
          <w:sz w:val="22"/>
        </w:rPr>
        <w:t>4 Years, 120 Seats, Annual Fee: ₹95,000. Focus on VLSI Design, 5G Wireless, IoT Sensors, and Drone Robotics.</w:t>
      </w:r>
    </w:p>
    <w:p>
      <w:pPr>
        <w:pStyle w:val="ListBullet"/>
        <w:spacing w:before="0" w:after="60" w:line="276" w:lineRule="auto"/>
      </w:pPr>
      <w:r>
        <w:rPr>
          <w:rFonts w:ascii="Calibri" w:hAnsi="Calibri"/>
          <w:b/>
          <w:i w:val="0"/>
          <w:color w:val="102B4E"/>
          <w:sz w:val="22"/>
        </w:rPr>
        <w:t xml:space="preserve">3. B.Tech Mechanical Engineering: </w:t>
      </w:r>
      <w:r>
        <w:rPr>
          <w:rFonts w:ascii="Calibri" w:hAnsi="Calibri"/>
          <w:b w:val="0"/>
          <w:i w:val="0"/>
          <w:color w:val="17283D"/>
          <w:sz w:val="22"/>
        </w:rPr>
        <w:t>4 Years, 90 Seats, Annual Fee: ₹90,000. Specializations in Electric Vehicles (EV), Mechatronics, CNC Automation, and Baja Racing.</w:t>
      </w:r>
    </w:p>
    <w:p>
      <w:pPr>
        <w:pStyle w:val="ListBullet"/>
        <w:spacing w:before="0" w:after="60" w:line="276" w:lineRule="auto"/>
      </w:pPr>
      <w:r>
        <w:rPr>
          <w:rFonts w:ascii="Calibri" w:hAnsi="Calibri"/>
          <w:b/>
          <w:i w:val="0"/>
          <w:color w:val="102B4E"/>
          <w:sz w:val="22"/>
        </w:rPr>
        <w:t xml:space="preserve">4. B.Tech Civil Engineering: </w:t>
      </w:r>
      <w:r>
        <w:rPr>
          <w:rFonts w:ascii="Calibri" w:hAnsi="Calibri"/>
          <w:b w:val="0"/>
          <w:i w:val="0"/>
          <w:color w:val="17283D"/>
          <w:sz w:val="22"/>
        </w:rPr>
        <w:t>4 Years, 60 Seats, Annual Fee: ₹85,000. Smart City Infrastructure, Total Station Surveying, GIS, and Sustainable Structural Design.</w:t>
      </w:r>
    </w:p>
    <w:p>
      <w:pPr>
        <w:pStyle w:val="ListBullet"/>
        <w:spacing w:before="0" w:after="60" w:line="276" w:lineRule="auto"/>
      </w:pPr>
      <w:r>
        <w:rPr>
          <w:rFonts w:ascii="Calibri" w:hAnsi="Calibri"/>
          <w:b/>
          <w:i w:val="0"/>
          <w:color w:val="102B4E"/>
          <w:sz w:val="22"/>
        </w:rPr>
        <w:t xml:space="preserve">5. Diploma in Engineering (Polytechnic): </w:t>
      </w:r>
      <w:r>
        <w:rPr>
          <w:rFonts w:ascii="Calibri" w:hAnsi="Calibri"/>
          <w:b w:val="0"/>
          <w:i w:val="0"/>
          <w:color w:val="17283D"/>
          <w:sz w:val="22"/>
        </w:rPr>
        <w:t>3 Years (2 Years Lateral Entry), 120 Seats, Annual Fee: ₹45,000. Hands-on workshop training for 10th or 12th/ITI students.</w:t>
      </w:r>
    </w:p>
    <w:p>
      <w:pPr>
        <w:pStyle w:val="ListBullet"/>
        <w:spacing w:before="0" w:after="60" w:line="276" w:lineRule="auto"/>
      </w:pPr>
      <w:r>
        <w:rPr>
          <w:rFonts w:ascii="Calibri" w:hAnsi="Calibri"/>
          <w:b/>
          <w:i w:val="0"/>
          <w:color w:val="102B4E"/>
          <w:sz w:val="22"/>
        </w:rPr>
        <w:t xml:space="preserve">6. B.Sc. (Hons.) Agriculture: </w:t>
      </w:r>
      <w:r>
        <w:rPr>
          <w:rFonts w:ascii="Calibri" w:hAnsi="Calibri"/>
          <w:b w:val="0"/>
          <w:i w:val="0"/>
          <w:color w:val="17283D"/>
          <w:sz w:val="22"/>
        </w:rPr>
        <w:t>4 Years, 60 Seats, Annual Fee: ₹80,000. Agronomy, Precision Hydroponics, Plant Breeding, and Agri-Business on dedicated research farms.</w:t>
      </w:r>
    </w:p>
    <w:p>
      <w:pPr>
        <w:pStyle w:val="ListBullet"/>
        <w:spacing w:before="0" w:after="60" w:line="276" w:lineRule="auto"/>
      </w:pPr>
      <w:r>
        <w:rPr>
          <w:rFonts w:ascii="Calibri" w:hAnsi="Calibri"/>
          <w:b/>
          <w:i w:val="0"/>
          <w:color w:val="102B4E"/>
          <w:sz w:val="22"/>
        </w:rPr>
        <w:t xml:space="preserve">7. BBA (Bachelor of Business Administration): </w:t>
      </w:r>
      <w:r>
        <w:rPr>
          <w:rFonts w:ascii="Calibri" w:hAnsi="Calibri"/>
          <w:b w:val="0"/>
          <w:i w:val="0"/>
          <w:color w:val="17283D"/>
          <w:sz w:val="22"/>
        </w:rPr>
        <w:t>3 Years, 90 Seats, Annual Fee: ₹65,000. Harvard Business case pedagogy, FinTech, Corporate Mentorship, and Startup Incubation.</w:t>
      </w:r>
    </w:p>
    <w:p>
      <w:pPr>
        <w:pStyle w:val="ListBullet"/>
        <w:spacing w:before="0" w:after="60" w:line="276" w:lineRule="auto"/>
      </w:pPr>
      <w:r>
        <w:rPr>
          <w:rFonts w:ascii="Calibri" w:hAnsi="Calibri"/>
          <w:b/>
          <w:i w:val="0"/>
          <w:color w:val="102B4E"/>
          <w:sz w:val="22"/>
        </w:rPr>
        <w:t xml:space="preserve">8. B.Sc. Nursing (INC Approved): </w:t>
      </w:r>
      <w:r>
        <w:rPr>
          <w:rFonts w:ascii="Calibri" w:hAnsi="Calibri"/>
          <w:b w:val="0"/>
          <w:i w:val="0"/>
          <w:color w:val="17283D"/>
          <w:sz w:val="22"/>
        </w:rPr>
        <w:t>4 Years, 60 Seats, Annual Fee: ₹1,05,000. Clinical hospital rotations in 500+ bed hospitals, simulation labs, and healthcare placements.</w:t>
      </w:r>
    </w:p>
    <w:p>
      <w:pPr>
        <w:keepNext/>
        <w:spacing w:before="240" w:after="80"/>
      </w:pPr>
      <w:r>
        <w:rPr>
          <w:rFonts w:ascii="Calibri" w:hAnsi="Calibri"/>
          <w:b/>
          <w:i w:val="0"/>
          <w:color w:val="1458A6"/>
          <w:sz w:val="26"/>
        </w:rPr>
        <w:t>6.2 Online Admissions Intake &amp; Reference Identifier Pipeline</w:t>
      </w:r>
    </w:p>
    <w:p>
      <w:pPr>
        <w:spacing w:before="0" w:after="120" w:line="276" w:lineRule="auto"/>
      </w:pPr>
      <w:r>
        <w:rPr>
          <w:rFonts w:ascii="Calibri" w:hAnsi="Calibri"/>
          <w:b w:val="0"/>
          <w:i w:val="0"/>
          <w:color w:val="17283D"/>
          <w:sz w:val="22"/>
        </w:rPr>
        <w:t>When an applicant completes the online admission form on admissions.html, the system initiates the following automated pipeline:</w:t>
      </w:r>
    </w:p>
    <w:p>
      <w:pPr>
        <w:pStyle w:val="ListBullet"/>
        <w:spacing w:before="0" w:after="60" w:line="276" w:lineRule="auto"/>
      </w:pPr>
      <w:r>
        <w:rPr>
          <w:rFonts w:ascii="Calibri" w:hAnsi="Calibri"/>
          <w:b/>
          <w:i w:val="0"/>
          <w:color w:val="102B4E"/>
          <w:sz w:val="22"/>
        </w:rPr>
        <w:t xml:space="preserve">Step 1 (Sanitization &amp; Validation): </w:t>
      </w:r>
      <w:r>
        <w:rPr>
          <w:rFonts w:ascii="Calibri" w:hAnsi="Calibri"/>
          <w:b w:val="0"/>
          <w:i w:val="0"/>
          <w:color w:val="17283D"/>
          <w:sz w:val="22"/>
        </w:rPr>
        <w:t>Validates presence of contact coordinates (email with '@' and domain, 10-digit mobile number, valid board percentage).</w:t>
      </w:r>
    </w:p>
    <w:p>
      <w:pPr>
        <w:pStyle w:val="ListBullet"/>
        <w:spacing w:before="0" w:after="60" w:line="276" w:lineRule="auto"/>
      </w:pPr>
      <w:r>
        <w:rPr>
          <w:rFonts w:ascii="Calibri" w:hAnsi="Calibri"/>
          <w:b/>
          <w:i w:val="0"/>
          <w:color w:val="102B4E"/>
          <w:sz w:val="22"/>
        </w:rPr>
        <w:t xml:space="preserve">Step 2 (Reference ID Assignment): </w:t>
      </w:r>
      <w:r>
        <w:rPr>
          <w:rFonts w:ascii="Calibri" w:hAnsi="Calibri"/>
          <w:b w:val="0"/>
          <w:i w:val="0"/>
          <w:color w:val="17283D"/>
          <w:sz w:val="22"/>
        </w:rPr>
        <w:t>Generates an official reference code in the format 'CUTM-' followed by a 6-digit random integer (e.g. CUTM-839201).</w:t>
      </w:r>
    </w:p>
    <w:p>
      <w:pPr>
        <w:pStyle w:val="ListBullet"/>
        <w:spacing w:before="0" w:after="60" w:line="276" w:lineRule="auto"/>
      </w:pPr>
      <w:r>
        <w:rPr>
          <w:rFonts w:ascii="Calibri" w:hAnsi="Calibri"/>
          <w:b/>
          <w:i w:val="0"/>
          <w:color w:val="102B4E"/>
          <w:sz w:val="22"/>
        </w:rPr>
        <w:t xml:space="preserve">Step 3 (AI Composite Scoring): </w:t>
      </w:r>
      <w:r>
        <w:rPr>
          <w:rFonts w:ascii="Calibri" w:hAnsi="Calibri"/>
          <w:b w:val="0"/>
          <w:i w:val="0"/>
          <w:color w:val="17283D"/>
          <w:sz w:val="22"/>
        </w:rPr>
        <w:t>Evaluates lead value using the mathematical formula: Total = Course Weight (30-50) + Phone Validation Weight (25) + Academic Merit Weight (10-25).</w:t>
      </w:r>
    </w:p>
    <w:p>
      <w:pPr>
        <w:pStyle w:val="ListBullet"/>
        <w:spacing w:before="0" w:after="60" w:line="276" w:lineRule="auto"/>
      </w:pPr>
      <w:r>
        <w:rPr>
          <w:rFonts w:ascii="Calibri" w:hAnsi="Calibri"/>
          <w:b/>
          <w:i w:val="0"/>
          <w:color w:val="102B4E"/>
          <w:sz w:val="22"/>
        </w:rPr>
        <w:t xml:space="preserve">Step 4 (Database Persistence): </w:t>
      </w:r>
      <w:r>
        <w:rPr>
          <w:rFonts w:ascii="Calibri" w:hAnsi="Calibri"/>
          <w:b w:val="0"/>
          <w:i w:val="0"/>
          <w:color w:val="17283D"/>
          <w:sz w:val="22"/>
        </w:rPr>
        <w:t>Stores the enriched JSON document in the SQLite leads table with 'New' verification status and UTC timestamp.</w:t>
      </w:r>
    </w:p>
    <w:p>
      <w:pPr>
        <w:pStyle w:val="ListBullet"/>
        <w:spacing w:before="0" w:after="60" w:line="276" w:lineRule="auto"/>
      </w:pPr>
      <w:r>
        <w:rPr>
          <w:rFonts w:ascii="Calibri" w:hAnsi="Calibri"/>
          <w:b/>
          <w:i w:val="0"/>
          <w:color w:val="102B4E"/>
          <w:sz w:val="22"/>
        </w:rPr>
        <w:t xml:space="preserve">Step 5 (Counselor Telemetry): </w:t>
      </w:r>
      <w:r>
        <w:rPr>
          <w:rFonts w:ascii="Calibri" w:hAnsi="Calibri"/>
          <w:b w:val="0"/>
          <w:i w:val="0"/>
          <w:color w:val="17283D"/>
          <w:sz w:val="22"/>
        </w:rPr>
        <w:t>Prints a highlighted notification box in the server console and pushes the lead to the real-time admin dashboard.</w:t>
      </w:r>
    </w:p>
    <w:p>
      <w:pPr>
        <w:keepNext/>
        <w:spacing w:before="240" w:after="80"/>
      </w:pPr>
      <w:r>
        <w:rPr>
          <w:rFonts w:ascii="Calibri" w:hAnsi="Calibri"/>
          <w:b/>
          <w:i w:val="0"/>
          <w:color w:val="1458A6"/>
          <w:sz w:val="26"/>
        </w:rPr>
        <w:t>6.3 AI Merit &amp; Scholarship Prediction Engine</w:t>
      </w:r>
    </w:p>
    <w:p>
      <w:pPr>
        <w:spacing w:before="0" w:after="120" w:line="276" w:lineRule="auto"/>
      </w:pPr>
      <w:r>
        <w:rPr>
          <w:rFonts w:ascii="Calibri" w:hAnsi="Calibri"/>
          <w:b w:val="0"/>
          <w:i w:val="0"/>
          <w:color w:val="17283D"/>
          <w:sz w:val="22"/>
        </w:rPr>
        <w:t>The prediction engine (/predict) allows students to check their admission chances prior to formal application submission. The algorithmic evaluation matrix operates as follows:</w:t>
      </w:r>
    </w:p>
    <w:tbl>
      <w:tblPr>
        <w:tblW w:type="auto" w:w="0"/>
        <w:jc w:val="center"/>
        <w:tblLook w:firstColumn="1" w:firstRow="1" w:lastColumn="0" w:lastRow="0" w:noHBand="0" w:noVBand="1" w:val="04A0"/>
      </w:tblPr>
      <w:tblGrid>
        <w:gridCol w:w="2340"/>
        <w:gridCol w:w="2340"/>
        <w:gridCol w:w="2340"/>
        <w:gridCol w:w="2340"/>
      </w:tblGrid>
      <w:tr>
        <w:tc>
          <w:tcPr>
            <w:tcW w:type="dxa" w:w="2160"/>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Marks Range (%)</w:t>
            </w:r>
          </w:p>
        </w:tc>
        <w:tc>
          <w:tcPr>
            <w:tcW w:type="dxa" w:w="2016"/>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Admission Chance</w:t>
            </w:r>
          </w:p>
        </w:tc>
        <w:tc>
          <w:tcPr>
            <w:tcW w:type="dxa" w:w="2880"/>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Chancellor Scholarship Tier</w:t>
            </w:r>
          </w:p>
        </w:tc>
        <w:tc>
          <w:tcPr>
            <w:tcW w:type="dxa" w:w="2304"/>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Counselor Recommendation</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&gt;= 80.0%</w:t>
            </w:r>
          </w:p>
        </w:tc>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High Chance</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50% – 100% Tuition Waiver</w:t>
            </w:r>
          </w:p>
        </w:tc>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Direct Admission in 1st Merit List</w:t>
            </w:r>
          </w:p>
        </w:tc>
      </w:tr>
      <w:tr>
        <w:tc>
          <w:tcPr>
            <w:tcW w:type="dxa" w:w="216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60.0% – 79.9%</w:t>
            </w:r>
          </w:p>
        </w:tc>
        <w:tc>
          <w:tcPr>
            <w:tcW w:type="dxa" w:w="201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High Chance</w:t>
            </w:r>
          </w:p>
        </w:tc>
        <w:tc>
          <w:tcPr>
            <w:tcW w:type="dxa" w:w="288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25% Merit Scholarship</w:t>
            </w:r>
          </w:p>
        </w:tc>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Direct Seat Allotment in Preferred Branch</w:t>
            </w:r>
          </w:p>
        </w:tc>
      </w:tr>
      <w:tr>
        <w:tc>
          <w:tcPr>
            <w:tcW w:type="dxa" w:w="216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45.0% – 59.9%</w:t>
            </w:r>
          </w:p>
        </w:tc>
        <w:tc>
          <w:tcPr>
            <w:tcW w:type="dxa" w:w="201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Moderate Chance</w:t>
            </w:r>
          </w:p>
        </w:tc>
        <w:tc>
          <w:tcPr>
            <w:tcW w:type="dxa" w:w="2880"/>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Standard Merit Seat</w:t>
            </w:r>
          </w:p>
        </w:tc>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Counseling Round &amp; Document Verification</w:t>
            </w:r>
          </w:p>
        </w:tc>
      </w:tr>
      <w:tr>
        <w:tc>
          <w:tcPr>
            <w:tcW w:type="dxa" w:w="216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&lt; 45.0%</w:t>
            </w:r>
          </w:p>
        </w:tc>
        <w:tc>
          <w:tcPr>
            <w:tcW w:type="dxa" w:w="201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Low Chance</w:t>
            </w:r>
          </w:p>
        </w:tc>
        <w:tc>
          <w:tcPr>
            <w:tcW w:type="dxa" w:w="2880"/>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Quota / Counseling Review</w:t>
            </w:r>
          </w:p>
        </w:tc>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Contact Counselor for Lateral/Diploma Entry</w:t>
            </w:r>
          </w:p>
        </w:tc>
      </w:tr>
    </w:tbl>
    <w:p>
      <w:pPr>
        <w:spacing w:after="80"/>
      </w:pPr>
    </w:p>
    <w:p>
      <w:pPr>
        <w:keepNext/>
        <w:spacing w:before="240" w:after="80"/>
      </w:pPr>
      <w:r>
        <w:rPr>
          <w:rFonts w:ascii="Calibri" w:hAnsi="Calibri"/>
          <w:b/>
          <w:i w:val="0"/>
          <w:color w:val="1458A6"/>
          <w:sz w:val="26"/>
        </w:rPr>
        <w:t>6.4 Real-Time Administrative Counseling Hub</w:t>
      </w:r>
    </w:p>
    <w:p>
      <w:pPr>
        <w:spacing w:before="0" w:after="120" w:line="276" w:lineRule="auto"/>
      </w:pPr>
      <w:r>
        <w:rPr>
          <w:rFonts w:ascii="Calibri" w:hAnsi="Calibri"/>
          <w:b w:val="0"/>
          <w:i w:val="0"/>
          <w:color w:val="17283D"/>
          <w:sz w:val="22"/>
        </w:rPr>
        <w:t>The administrative console (dashboard.html) provides counselors with enterprise lead management tools:</w:t>
      </w:r>
    </w:p>
    <w:p>
      <w:pPr>
        <w:pStyle w:val="ListBullet"/>
        <w:spacing w:before="0" w:after="60" w:line="276" w:lineRule="auto"/>
      </w:pPr>
      <w:r>
        <w:rPr>
          <w:rFonts w:ascii="Calibri" w:hAnsi="Calibri"/>
          <w:b/>
          <w:i w:val="0"/>
          <w:color w:val="102B4E"/>
          <w:sz w:val="22"/>
        </w:rPr>
        <w:t xml:space="preserve">Reactive Auto-Polling: </w:t>
      </w:r>
      <w:r>
        <w:rPr>
          <w:rFonts w:ascii="Calibri" w:hAnsi="Calibri"/>
          <w:b w:val="0"/>
          <w:i w:val="0"/>
          <w:color w:val="17283D"/>
          <w:sz w:val="22"/>
        </w:rPr>
        <w:t>Background interval polls /leads every 10 seconds. New records trigger an acoustic chime via Web Audio API and slide down a green toast alert.</w:t>
      </w:r>
    </w:p>
    <w:p>
      <w:pPr>
        <w:pStyle w:val="ListBullet"/>
        <w:spacing w:before="0" w:after="60" w:line="276" w:lineRule="auto"/>
      </w:pPr>
      <w:r>
        <w:rPr>
          <w:rFonts w:ascii="Calibri" w:hAnsi="Calibri"/>
          <w:b/>
          <w:i w:val="0"/>
          <w:color w:val="102B4E"/>
          <w:sz w:val="22"/>
        </w:rPr>
        <w:t xml:space="preserve">Live Search &amp; Multitier Filtering: </w:t>
      </w:r>
      <w:r>
        <w:rPr>
          <w:rFonts w:ascii="Calibri" w:hAnsi="Calibri"/>
          <w:b w:val="0"/>
          <w:i w:val="0"/>
          <w:color w:val="17283D"/>
          <w:sz w:val="22"/>
        </w:rPr>
        <w:t>Instant client-side regex matching across Name, Mobile, Email, Reference ID, Course, and City.</w:t>
      </w:r>
    </w:p>
    <w:p>
      <w:pPr>
        <w:pStyle w:val="ListBullet"/>
        <w:spacing w:before="0" w:after="60" w:line="276" w:lineRule="auto"/>
      </w:pPr>
      <w:r>
        <w:rPr>
          <w:rFonts w:ascii="Calibri" w:hAnsi="Calibri"/>
          <w:b/>
          <w:i w:val="0"/>
          <w:color w:val="102B4E"/>
          <w:sz w:val="22"/>
        </w:rPr>
        <w:t xml:space="preserve">One-Click Outreach: </w:t>
      </w:r>
      <w:r>
        <w:rPr>
          <w:rFonts w:ascii="Calibri" w:hAnsi="Calibri"/>
          <w:b w:val="0"/>
          <w:i w:val="0"/>
          <w:color w:val="17283D"/>
          <w:sz w:val="22"/>
        </w:rPr>
        <w:t>Direct WhatsApp Web link (wa.me/91...) with pre-filled counselor message and click-to-call (tel:) links.</w:t>
      </w:r>
    </w:p>
    <w:p>
      <w:pPr>
        <w:pStyle w:val="ListBullet"/>
        <w:spacing w:before="0" w:after="60" w:line="276" w:lineRule="auto"/>
      </w:pPr>
      <w:r>
        <w:rPr>
          <w:rFonts w:ascii="Calibri" w:hAnsi="Calibri"/>
          <w:b/>
          <w:i w:val="0"/>
          <w:color w:val="102B4E"/>
          <w:sz w:val="22"/>
        </w:rPr>
        <w:t xml:space="preserve">1-Click CSV / Excel Export: </w:t>
      </w:r>
      <w:r>
        <w:rPr>
          <w:rFonts w:ascii="Calibri" w:hAnsi="Calibri"/>
          <w:b w:val="0"/>
          <w:i w:val="0"/>
          <w:color w:val="17283D"/>
          <w:sz w:val="22"/>
        </w:rPr>
        <w:t>Compiles all applicant records into a clean, comma-separated spreadsheet (CUTM_Admissions_List_YYYY-MM-DD.csv) for management review.</w:t>
      </w:r>
    </w:p>
    <w:p>
      <w:pPr>
        <w:pStyle w:val="ListBullet"/>
        <w:spacing w:before="0" w:after="60" w:line="276" w:lineRule="auto"/>
      </w:pPr>
      <w:r>
        <w:rPr>
          <w:rFonts w:ascii="Calibri" w:hAnsi="Calibri"/>
          <w:b/>
          <w:i w:val="0"/>
          <w:color w:val="102B4E"/>
          <w:sz w:val="22"/>
        </w:rPr>
        <w:t xml:space="preserve">Student Detail Modal: </w:t>
      </w:r>
      <w:r>
        <w:rPr>
          <w:rFonts w:ascii="Calibri" w:hAnsi="Calibri"/>
          <w:b w:val="0"/>
          <w:i w:val="0"/>
          <w:color w:val="17283D"/>
          <w:sz w:val="22"/>
        </w:rPr>
        <w:t>Allows counselors to view applicant remarks, full address, and update status between New, Contacted, Verified, Confirmed, and Rejected.</w:t>
      </w:r>
    </w:p>
    <w:p>
      <w:pPr>
        <w:keepNext/>
        <w:spacing w:before="320" w:after="120"/>
      </w:pPr>
      <w:r>
        <w:rPr>
          <w:rFonts w:ascii="Calibri" w:hAnsi="Calibri"/>
          <w:b/>
          <w:i w:val="0"/>
          <w:color w:val="102B4E"/>
          <w:sz w:val="32"/>
        </w:rPr>
        <w:t>CHAPTER 7: UI/UX &amp; VISUAL DESIGN SYSTEM</w:t>
      </w:r>
    </w:p>
    <w:p>
      <w:pPr>
        <w:keepNext/>
        <w:spacing w:before="240" w:after="80"/>
      </w:pPr>
      <w:r>
        <w:rPr>
          <w:rFonts w:ascii="Calibri" w:hAnsi="Calibri"/>
          <w:b/>
          <w:i w:val="0"/>
          <w:color w:val="1458A6"/>
          <w:sz w:val="26"/>
        </w:rPr>
        <w:t>7.1 CUTM Brand Color System</w:t>
      </w:r>
    </w:p>
    <w:p>
      <w:pPr>
        <w:spacing w:before="0" w:after="120" w:line="276" w:lineRule="auto"/>
      </w:pPr>
      <w:r>
        <w:rPr>
          <w:rFonts w:ascii="Calibri" w:hAnsi="Calibri"/>
          <w:b w:val="0"/>
          <w:i w:val="0"/>
          <w:color w:val="17283D"/>
          <w:sz w:val="22"/>
        </w:rPr>
        <w:t>The design system utilizes institutional tokens to establish visual authority, trust, and navigational clarity:</w:t>
      </w:r>
    </w:p>
    <w:p>
      <w:pPr>
        <w:pStyle w:val="ListBullet"/>
        <w:spacing w:before="0" w:after="60" w:line="276" w:lineRule="auto"/>
      </w:pPr>
      <w:r>
        <w:rPr>
          <w:rFonts w:ascii="Calibri" w:hAnsi="Calibri"/>
          <w:b/>
          <w:i w:val="0"/>
          <w:color w:val="102B4E"/>
          <w:sz w:val="22"/>
        </w:rPr>
        <w:t xml:space="preserve">--navy (#102B4E): </w:t>
      </w:r>
      <w:r>
        <w:rPr>
          <w:rFonts w:ascii="Calibri" w:hAnsi="Calibri"/>
          <w:b w:val="0"/>
          <w:i w:val="0"/>
          <w:color w:val="17283D"/>
          <w:sz w:val="22"/>
        </w:rPr>
        <w:t>Primary brand color applied to headers, footers, major headings, and primary cards.</w:t>
      </w:r>
    </w:p>
    <w:p>
      <w:pPr>
        <w:pStyle w:val="ListBullet"/>
        <w:spacing w:before="0" w:after="60" w:line="276" w:lineRule="auto"/>
      </w:pPr>
      <w:r>
        <w:rPr>
          <w:rFonts w:ascii="Calibri" w:hAnsi="Calibri"/>
          <w:b/>
          <w:i w:val="0"/>
          <w:color w:val="102B4E"/>
          <w:sz w:val="22"/>
        </w:rPr>
        <w:t xml:space="preserve">--blue (#1458A6): </w:t>
      </w:r>
      <w:r>
        <w:rPr>
          <w:rFonts w:ascii="Calibri" w:hAnsi="Calibri"/>
          <w:b w:val="0"/>
          <w:i w:val="0"/>
          <w:color w:val="17283D"/>
          <w:sz w:val="22"/>
        </w:rPr>
        <w:t>Primary interactive accent used on call-to-action buttons, active navigation, and links.</w:t>
      </w:r>
    </w:p>
    <w:p>
      <w:pPr>
        <w:pStyle w:val="ListBullet"/>
        <w:spacing w:before="0" w:after="60" w:line="276" w:lineRule="auto"/>
      </w:pPr>
      <w:r>
        <w:rPr>
          <w:rFonts w:ascii="Calibri" w:hAnsi="Calibri"/>
          <w:b/>
          <w:i w:val="0"/>
          <w:color w:val="102B4E"/>
          <w:sz w:val="22"/>
        </w:rPr>
        <w:t xml:space="preserve">--gold (#D4AF37): </w:t>
      </w:r>
      <w:r>
        <w:rPr>
          <w:rFonts w:ascii="Calibri" w:hAnsi="Calibri"/>
          <w:b w:val="0"/>
          <w:i w:val="0"/>
          <w:color w:val="17283D"/>
          <w:sz w:val="22"/>
        </w:rPr>
        <w:t>Prestige accent applied to the university emblem ring, merit badges, and highlights.</w:t>
      </w:r>
    </w:p>
    <w:p>
      <w:pPr>
        <w:pStyle w:val="ListBullet"/>
        <w:spacing w:before="0" w:after="60" w:line="276" w:lineRule="auto"/>
      </w:pPr>
      <w:r>
        <w:rPr>
          <w:rFonts w:ascii="Calibri" w:hAnsi="Calibri"/>
          <w:b/>
          <w:i w:val="0"/>
          <w:color w:val="102B4E"/>
          <w:sz w:val="22"/>
        </w:rPr>
        <w:t xml:space="preserve">--pale (#F4F7FB): </w:t>
      </w:r>
      <w:r>
        <w:rPr>
          <w:rFonts w:ascii="Calibri" w:hAnsi="Calibri"/>
          <w:b w:val="0"/>
          <w:i w:val="0"/>
          <w:color w:val="17283D"/>
          <w:sz w:val="22"/>
        </w:rPr>
        <w:t>Background canvas tone delivering comfortable eye contrast and modern card separation.</w:t>
      </w:r>
    </w:p>
    <w:p>
      <w:pPr>
        <w:keepNext/>
        <w:spacing w:before="240" w:after="80"/>
      </w:pPr>
      <w:r>
        <w:rPr>
          <w:rFonts w:ascii="Calibri" w:hAnsi="Calibri"/>
          <w:b/>
          <w:i w:val="0"/>
          <w:color w:val="1458A6"/>
          <w:sz w:val="26"/>
        </w:rPr>
        <w:t>7.2 Official Circular CUTM Emblem Restoration</w:t>
      </w:r>
    </w:p>
    <w:p>
      <w:pPr>
        <w:spacing w:before="0" w:after="120" w:line="276" w:lineRule="auto"/>
      </w:pPr>
      <w:r>
        <w:rPr>
          <w:rFonts w:ascii="Calibri" w:hAnsi="Calibri"/>
          <w:b w:val="0"/>
          <w:i w:val="0"/>
          <w:color w:val="17283D"/>
          <w:sz w:val="22"/>
        </w:rPr>
        <w:t>The CUTM circular seal was digitally restored, removing third-party screenshot artifacts and letterboxing. The emblem prominently depicts the Sanskrit shloka "ज्ञानस्य संयोगाय वितरणाय च", the sacred peacock, the rising sun of enlightenment, and the central shield holding the globe and book. It is rendered with 50% circular clipping and subtle gold ring accents across all headers and browser favicons.</w:t>
      </w:r>
    </w:p>
    <w:p>
      <w:pPr>
        <w:keepNext/>
        <w:spacing w:before="240" w:after="80"/>
      </w:pPr>
      <w:r>
        <w:rPr>
          <w:rFonts w:ascii="Calibri" w:hAnsi="Calibri"/>
          <w:b/>
          <w:i w:val="0"/>
          <w:color w:val="1458A6"/>
          <w:sz w:val="26"/>
        </w:rPr>
        <w:t>7.3 Scenic Campus Hero Visual Showcase</w:t>
      </w:r>
    </w:p>
    <w:p>
      <w:pPr>
        <w:spacing w:before="0" w:after="120" w:line="276" w:lineRule="auto"/>
      </w:pPr>
      <w:r>
        <w:rPr>
          <w:rFonts w:ascii="Calibri" w:hAnsi="Calibri"/>
          <w:b w:val="0"/>
          <w:i w:val="0"/>
          <w:color w:val="17283D"/>
          <w:sz w:val="22"/>
        </w:rPr>
        <w:t>To convey an authentic sense of place, the platform integrates high-definition panoramic photography of CUTM's lush green hilltop campus. The image is embedded below as featured on the main university landing page:</w:t>
      </w:r>
    </w:p>
    <w:p>
      <w:pPr>
        <w:spacing w:before="160" w:after="80"/>
        <w:jc w:val="center"/>
      </w:pPr>
      <w:r>
        <w:drawing>
          <wp:inline xmlns:a="http://schemas.openxmlformats.org/drawingml/2006/main" xmlns:pic="http://schemas.openxmlformats.org/drawingml/2006/picture">
            <wp:extent cx="4754880" cy="4743873"/>
            <wp:docPr id="2" name="Picture 2"/>
            <wp:cNvGraphicFramePr>
              <a:graphicFrameLocks noChangeAspect="1"/>
            </wp:cNvGraphicFramePr>
            <a:graphic>
              <a:graphicData uri="http://schemas.openxmlformats.org/drawingml/2006/picture">
                <pic:pic>
                  <pic:nvPicPr>
                    <pic:cNvPr id="0" name="cutm_campus_hero.jpg"/>
                    <pic:cNvPicPr/>
                  </pic:nvPicPr>
                  <pic:blipFill>
                    <a:blip r:embed="rId11"/>
                    <a:stretch>
                      <a:fillRect/>
                    </a:stretch>
                  </pic:blipFill>
                  <pic:spPr>
                    <a:xfrm>
                      <a:off x="0" y="0"/>
                      <a:ext cx="4754880" cy="4743873"/>
                    </a:xfrm>
                    <a:prstGeom prst="rect"/>
                  </pic:spPr>
                </pic:pic>
              </a:graphicData>
            </a:graphic>
          </wp:inline>
        </w:drawing>
      </w:r>
    </w:p>
    <w:p>
      <w:pPr>
        <w:spacing w:after="280"/>
        <w:jc w:val="center"/>
      </w:pPr>
      <w:r>
        <w:rPr>
          <w:rFonts w:ascii="Calibri" w:hAnsi="Calibri"/>
          <w:b w:val="0"/>
          <w:i/>
          <w:color w:val="64748B"/>
          <w:sz w:val="19"/>
        </w:rPr>
        <w:t>Figure 7.1: Centurion University of Technology and Management (CUTM) — Panoramic Campus View Featured on Home Page.</w:t>
      </w:r>
    </w:p>
    <w:p>
      <w:pPr>
        <w:keepNext/>
        <w:spacing w:before="320" w:after="120"/>
      </w:pPr>
      <w:r>
        <w:rPr>
          <w:rFonts w:ascii="Calibri" w:hAnsi="Calibri"/>
          <w:b/>
          <w:i w:val="0"/>
          <w:color w:val="102B4E"/>
          <w:sz w:val="32"/>
        </w:rPr>
        <w:t>CHAPTER 8: SECURITY, VALIDATION &amp; EXCEPTION HANDLING</w:t>
      </w:r>
    </w:p>
    <w:p>
      <w:pPr>
        <w:spacing w:before="0" w:after="120" w:line="276" w:lineRule="auto"/>
      </w:pPr>
      <w:r>
        <w:rPr>
          <w:rFonts w:ascii="Calibri" w:hAnsi="Calibri"/>
          <w:b w:val="0"/>
          <w:i w:val="0"/>
          <w:color w:val="17283D"/>
          <w:sz w:val="22"/>
        </w:rPr>
        <w:t>Enterprise security standards were incorporated throughout the entire request lifecycle:</w:t>
      </w:r>
    </w:p>
    <w:p>
      <w:pPr>
        <w:pStyle w:val="ListBullet"/>
        <w:spacing w:before="0" w:after="60" w:line="276" w:lineRule="auto"/>
      </w:pPr>
      <w:r>
        <w:rPr>
          <w:rFonts w:ascii="Calibri" w:hAnsi="Calibri"/>
          <w:b/>
          <w:i w:val="0"/>
          <w:color w:val="102B4E"/>
          <w:sz w:val="22"/>
        </w:rPr>
        <w:t xml:space="preserve">Password Cryptography: </w:t>
      </w:r>
      <w:r>
        <w:rPr>
          <w:rFonts w:ascii="Calibri" w:hAnsi="Calibri"/>
          <w:b w:val="0"/>
          <w:i w:val="0"/>
          <w:color w:val="17283D"/>
          <w:sz w:val="22"/>
        </w:rPr>
        <w:t>User passwords are encrypted using salted scrypt/PBKDF2 hashes via werkzeug.security. Plaintext passwords are never persisted.</w:t>
      </w:r>
    </w:p>
    <w:p>
      <w:pPr>
        <w:pStyle w:val="ListBullet"/>
        <w:spacing w:before="0" w:after="60" w:line="276" w:lineRule="auto"/>
      </w:pPr>
      <w:r>
        <w:rPr>
          <w:rFonts w:ascii="Calibri" w:hAnsi="Calibri"/>
          <w:b/>
          <w:i w:val="0"/>
          <w:color w:val="102B4E"/>
          <w:sz w:val="22"/>
        </w:rPr>
        <w:t xml:space="preserve">Stateless JWT Tokens: </w:t>
      </w:r>
      <w:r>
        <w:rPr>
          <w:rFonts w:ascii="Calibri" w:hAnsi="Calibri"/>
          <w:b w:val="0"/>
          <w:i w:val="0"/>
          <w:color w:val="17283D"/>
          <w:sz w:val="22"/>
        </w:rPr>
        <w:t>Authenticated sessions use digitally signed tokens (HS256) with 24-hour expiration, preventing session hijacking.</w:t>
      </w:r>
    </w:p>
    <w:p>
      <w:pPr>
        <w:pStyle w:val="ListBullet"/>
        <w:spacing w:before="0" w:after="60" w:line="276" w:lineRule="auto"/>
      </w:pPr>
      <w:r>
        <w:rPr>
          <w:rFonts w:ascii="Calibri" w:hAnsi="Calibri"/>
          <w:b/>
          <w:i w:val="0"/>
          <w:color w:val="102B4E"/>
          <w:sz w:val="22"/>
        </w:rPr>
        <w:t xml:space="preserve">Cross-Site Scripting (XSS) Sanitization: </w:t>
      </w:r>
      <w:r>
        <w:rPr>
          <w:rFonts w:ascii="Calibri" w:hAnsi="Calibri"/>
          <w:b w:val="0"/>
          <w:i w:val="0"/>
          <w:color w:val="17283D"/>
          <w:sz w:val="22"/>
        </w:rPr>
        <w:t>Dynamic user content rendered into the DOM is rigorously escaped via a custom escapeHtml() sanitizer.</w:t>
      </w:r>
    </w:p>
    <w:p>
      <w:pPr>
        <w:pStyle w:val="ListBullet"/>
        <w:spacing w:before="0" w:after="60" w:line="276" w:lineRule="auto"/>
      </w:pPr>
      <w:r>
        <w:rPr>
          <w:rFonts w:ascii="Calibri" w:hAnsi="Calibri"/>
          <w:b/>
          <w:i w:val="0"/>
          <w:color w:val="102B4E"/>
          <w:sz w:val="22"/>
        </w:rPr>
        <w:t xml:space="preserve">SQL Injection Immunity: </w:t>
      </w:r>
      <w:r>
        <w:rPr>
          <w:rFonts w:ascii="Calibri" w:hAnsi="Calibri"/>
          <w:b w:val="0"/>
          <w:i w:val="0"/>
          <w:color w:val="17283D"/>
          <w:sz w:val="22"/>
        </w:rPr>
        <w:t>All database operations employ parameterized queries (sqlite3 '?' placeholders), eliminating malicious SQL injection vectors.</w:t>
      </w:r>
    </w:p>
    <w:p>
      <w:pPr>
        <w:keepNext/>
        <w:spacing w:before="320" w:after="120"/>
      </w:pPr>
      <w:r>
        <w:rPr>
          <w:rFonts w:ascii="Calibri" w:hAnsi="Calibri"/>
          <w:b/>
          <w:i w:val="0"/>
          <w:color w:val="102B4E"/>
          <w:sz w:val="32"/>
        </w:rPr>
        <w:t>CHAPTER 9: SYSTEM TESTING &amp; VERIFICATION RESULTS</w:t>
      </w:r>
    </w:p>
    <w:p>
      <w:pPr>
        <w:spacing w:before="0" w:after="120" w:line="276" w:lineRule="auto"/>
      </w:pPr>
      <w:r>
        <w:rPr>
          <w:rFonts w:ascii="Calibri" w:hAnsi="Calibri"/>
          <w:b w:val="0"/>
          <w:i w:val="0"/>
          <w:color w:val="17283D"/>
          <w:sz w:val="22"/>
        </w:rPr>
        <w:t>The system underwent rigorous functional, integration, and user acceptance testing. The verified test matrix is detailed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Test ID</w:t>
            </w:r>
          </w:p>
        </w:tc>
        <w:tc>
          <w:tcPr>
            <w:tcW w:type="dxa" w:w="2448"/>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Test Scenario</w:t>
            </w:r>
          </w:p>
        </w:tc>
        <w:tc>
          <w:tcPr>
            <w:tcW w:type="dxa" w:w="2304"/>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Input Parameters</w:t>
            </w:r>
          </w:p>
        </w:tc>
        <w:tc>
          <w:tcPr>
            <w:tcW w:type="dxa" w:w="2448"/>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Expected Result</w:t>
            </w:r>
          </w:p>
        </w:tc>
        <w:tc>
          <w:tcPr>
            <w:tcW w:type="dxa" w:w="864"/>
            <w:shd w:fill="102B4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Calibri" w:hAnsi="Calibri"/>
                <w:b/>
                <w:i w:val="0"/>
                <w:color w:val="FFFFFF"/>
                <w:sz w:val="20"/>
              </w:rPr>
              <w:t>Status</w:t>
            </w:r>
          </w:p>
        </w:tc>
      </w:tr>
      <w:tr>
        <w:tc>
          <w:tcPr>
            <w:tcW w:type="dxa" w:w="129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TC-01</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Student Registration</w:t>
            </w:r>
          </w:p>
        </w:tc>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Name, Username, Email, Phone, Password</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201 Created, JWT Token &amp; User JSON returned</w:t>
            </w:r>
          </w:p>
        </w:tc>
        <w:tc>
          <w:tcPr>
            <w:tcW w:type="dxa" w:w="86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TC-02</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Duplicate User Check</w:t>
            </w:r>
          </w:p>
        </w:tc>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Existing username 'rohan2026'</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409 Conflict with informative error message</w:t>
            </w:r>
          </w:p>
        </w:tc>
        <w:tc>
          <w:tcPr>
            <w:tcW w:type="dxa" w:w="86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TC-03</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Student Login via Username</w:t>
            </w:r>
          </w:p>
        </w:tc>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Username: 'rohan2026', Password</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200 OK, JWT Token issued, redirects to portal</w:t>
            </w:r>
          </w:p>
        </w:tc>
        <w:tc>
          <w:tcPr>
            <w:tcW w:type="dxa" w:w="86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TC-04</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Student Login via Email</w:t>
            </w:r>
          </w:p>
        </w:tc>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Email: 'rohan@example.com', Password</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200 OK, Authenticated successfully</w:t>
            </w:r>
          </w:p>
        </w:tc>
        <w:tc>
          <w:tcPr>
            <w:tcW w:type="dxa" w:w="86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TC-05</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Admin Authentication</w:t>
            </w:r>
          </w:p>
        </w:tc>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admin / admin1234</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200 OK, Admin JWT, redirects to dashboard.html</w:t>
            </w:r>
          </w:p>
        </w:tc>
        <w:tc>
          <w:tcPr>
            <w:tcW w:type="dxa" w:w="86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TC-06</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Admission Form Submission</w:t>
            </w:r>
          </w:p>
        </w:tc>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Student Details + Marks 88.5% (CSE)</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201 Created, Ref ID 'CUTM-XXXXXX' assigned</w:t>
            </w:r>
          </w:p>
        </w:tc>
        <w:tc>
          <w:tcPr>
            <w:tcW w:type="dxa" w:w="86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TC-07</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Merit Predictor Calculation</w:t>
            </w:r>
          </w:p>
        </w:tc>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Marks: 85%, Course: 'B.Tech CSE'</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Returns 'High Chance' + 50%-100% Scholarship</w:t>
            </w:r>
          </w:p>
        </w:tc>
        <w:tc>
          <w:tcPr>
            <w:tcW w:type="dxa" w:w="86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TC-08</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Admin Dashboard Polling</w:t>
            </w:r>
          </w:p>
        </w:tc>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Simulate new applicant submission</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Audio chime plays, toast banner displays lead</w:t>
            </w:r>
          </w:p>
        </w:tc>
        <w:tc>
          <w:tcPr>
            <w:tcW w:type="dxa" w:w="86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TC-09</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CSV Export Generation</w:t>
            </w:r>
          </w:p>
        </w:tc>
        <w:tc>
          <w:tcPr>
            <w:tcW w:type="dxa" w:w="230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Click 'Export All Applications (CSV)'</w:t>
            </w:r>
          </w:p>
        </w:tc>
        <w:tc>
          <w:tcPr>
            <w:tcW w:type="dxa" w:w="2448"/>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Downloads CUTM_Admissions_List_YYYY-MM-DD.csv</w:t>
            </w:r>
          </w:p>
        </w:tc>
        <w:tc>
          <w:tcPr>
            <w:tcW w:type="dxa" w:w="864"/>
            <w:shd w:fill="FFFFFF"/>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r>
        <w:tc>
          <w:tcPr>
            <w:tcW w:type="dxa" w:w="1296"/>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TC-10</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Static Asset Integrity</w:t>
            </w:r>
          </w:p>
        </w:tc>
        <w:tc>
          <w:tcPr>
            <w:tcW w:type="dxa" w:w="230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Request /images/cutm_logo.png</w:t>
            </w:r>
          </w:p>
        </w:tc>
        <w:tc>
          <w:tcPr>
            <w:tcW w:type="dxa" w:w="2448"/>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200 OK, Transparent circular emblem served</w:t>
            </w:r>
          </w:p>
        </w:tc>
        <w:tc>
          <w:tcPr>
            <w:tcW w:type="dxa" w:w="864"/>
            <w:shd w:fill="F8FAFC"/>
            <w:tcBorders>
              <w:top w:val="single" w:sz="4" w:space="0" w:color="E2E8F0"/>
              <w:left w:val="single" w:sz="4" w:space="0" w:color="E2E8F0"/>
              <w:bottom w:val="single" w:sz="4" w:space="0" w:color="E2E8F0"/>
              <w:right w:val="single" w:sz="4" w:space="0" w:color="E2E8F0"/>
            </w:tcBorders>
          </w:tcPr>
          <w:p>
            <w:pPr>
              <w:spacing w:before="60" w:after="60" w:line="264" w:lineRule="auto"/>
            </w:pPr>
            <w:r>
              <w:rPr>
                <w:rFonts w:ascii="Calibri" w:hAnsi="Calibri"/>
                <w:b w:val="0"/>
                <w:i w:val="0"/>
                <w:color w:val="17283D"/>
                <w:sz w:val="19"/>
              </w:rPr>
              <w:t>PASS</w:t>
            </w:r>
          </w:p>
        </w:tc>
      </w:tr>
    </w:tbl>
    <w:p>
      <w:pPr>
        <w:spacing w:after="80"/>
      </w:pPr>
    </w:p>
    <w:p>
      <w:pPr>
        <w:keepNext/>
        <w:spacing w:before="320" w:after="120"/>
      </w:pPr>
      <w:r>
        <w:rPr>
          <w:rFonts w:ascii="Calibri" w:hAnsi="Calibri"/>
          <w:b/>
          <w:i w:val="0"/>
          <w:color w:val="102B4E"/>
          <w:sz w:val="32"/>
        </w:rPr>
        <w:t>CHAPTER 10: CONCLUSION &amp; FUTURE SCOPE</w:t>
      </w:r>
    </w:p>
    <w:p>
      <w:pPr>
        <w:keepNext/>
        <w:spacing w:before="240" w:after="80"/>
      </w:pPr>
      <w:r>
        <w:rPr>
          <w:rFonts w:ascii="Calibri" w:hAnsi="Calibri"/>
          <w:b/>
          <w:i w:val="0"/>
          <w:color w:val="1458A6"/>
          <w:sz w:val="26"/>
        </w:rPr>
        <w:t>10.1 Project Conclusion</w:t>
      </w:r>
    </w:p>
    <w:p>
      <w:pPr>
        <w:spacing w:before="0" w:after="120" w:line="276" w:lineRule="auto"/>
      </w:pPr>
      <w:r>
        <w:rPr>
          <w:rFonts w:ascii="Calibri" w:hAnsi="Calibri"/>
          <w:b w:val="0"/>
          <w:i w:val="0"/>
          <w:color w:val="17283D"/>
          <w:sz w:val="22"/>
        </w:rPr>
        <w:t>The "AI-Enabled University Web Portal &amp; Admissions Management System" developed for Centurion University of Technology and Management (CUTM) successfully demonstrates how modern web engineering, clean visual design, and intelligent predictive algorithms can transform traditional academic workflows. The portal delivers a seamless experience for applicants, gives counselors powerful real-time lead management capabilities, and establishes a secure, modular foundation ready for future institutional expansion.</w:t>
      </w:r>
    </w:p>
    <w:p>
      <w:pPr>
        <w:keepNext/>
        <w:spacing w:before="240" w:after="80"/>
      </w:pPr>
      <w:r>
        <w:rPr>
          <w:rFonts w:ascii="Calibri" w:hAnsi="Calibri"/>
          <w:b/>
          <w:i w:val="0"/>
          <w:color w:val="1458A6"/>
          <w:sz w:val="26"/>
        </w:rPr>
        <w:t>10.2 Future Scope &amp; Roadmap</w:t>
      </w:r>
    </w:p>
    <w:p>
      <w:pPr>
        <w:pStyle w:val="ListBullet"/>
        <w:spacing w:before="0" w:after="60" w:line="276" w:lineRule="auto"/>
      </w:pPr>
      <w:r>
        <w:rPr>
          <w:rFonts w:ascii="Calibri" w:hAnsi="Calibri"/>
          <w:b/>
          <w:i w:val="0"/>
          <w:color w:val="102B4E"/>
          <w:sz w:val="22"/>
        </w:rPr>
        <w:t xml:space="preserve">1. Automated SMS &amp; Email Dispatcher: </w:t>
      </w:r>
      <w:r>
        <w:rPr>
          <w:rFonts w:ascii="Calibri" w:hAnsi="Calibri"/>
          <w:b w:val="0"/>
          <w:i w:val="0"/>
          <w:color w:val="17283D"/>
          <w:sz w:val="22"/>
        </w:rPr>
        <w:t>Integration with Twilio / AWS SES to dispatch instant confirmation SMS and printable admission receipt PDFs.</w:t>
      </w:r>
    </w:p>
    <w:p>
      <w:pPr>
        <w:pStyle w:val="ListBullet"/>
        <w:spacing w:before="0" w:after="60" w:line="276" w:lineRule="auto"/>
      </w:pPr>
      <w:r>
        <w:rPr>
          <w:rFonts w:ascii="Calibri" w:hAnsi="Calibri"/>
          <w:b/>
          <w:i w:val="0"/>
          <w:color w:val="102B4E"/>
          <w:sz w:val="22"/>
        </w:rPr>
        <w:t xml:space="preserve">2. Online Fee Payment Gateway: </w:t>
      </w:r>
      <w:r>
        <w:rPr>
          <w:rFonts w:ascii="Calibri" w:hAnsi="Calibri"/>
          <w:b w:val="0"/>
          <w:i w:val="0"/>
          <w:color w:val="17283D"/>
          <w:sz w:val="22"/>
        </w:rPr>
        <w:t>Integration with Razorpay / Cashfree for direct online seat reservation and application fee checkout.</w:t>
      </w:r>
    </w:p>
    <w:p>
      <w:pPr>
        <w:pStyle w:val="ListBullet"/>
        <w:spacing w:before="0" w:after="60" w:line="276" w:lineRule="auto"/>
      </w:pPr>
      <w:r>
        <w:rPr>
          <w:rFonts w:ascii="Calibri" w:hAnsi="Calibri"/>
          <w:b/>
          <w:i w:val="0"/>
          <w:color w:val="102B4E"/>
          <w:sz w:val="22"/>
        </w:rPr>
        <w:t xml:space="preserve">3. Student Self-Service Portal: </w:t>
      </w:r>
      <w:r>
        <w:rPr>
          <w:rFonts w:ascii="Calibri" w:hAnsi="Calibri"/>
          <w:b w:val="0"/>
          <w:i w:val="0"/>
          <w:color w:val="17283D"/>
          <w:sz w:val="22"/>
        </w:rPr>
        <w:t>A dedicated portal where admitted students can view semester fee dues, bus passes, and hostel room allotments.</w:t>
      </w:r>
    </w:p>
    <w:p>
      <w:pPr>
        <w:pStyle w:val="ListBullet"/>
        <w:spacing w:before="0" w:after="60" w:line="276" w:lineRule="auto"/>
      </w:pPr>
      <w:r>
        <w:rPr>
          <w:rFonts w:ascii="Calibri" w:hAnsi="Calibri"/>
          <w:b/>
          <w:i w:val="0"/>
          <w:color w:val="102B4E"/>
          <w:sz w:val="22"/>
        </w:rPr>
        <w:t xml:space="preserve">4. Native Mobile Application: </w:t>
      </w:r>
      <w:r>
        <w:rPr>
          <w:rFonts w:ascii="Calibri" w:hAnsi="Calibri"/>
          <w:b w:val="0"/>
          <w:i w:val="0"/>
          <w:color w:val="17283D"/>
          <w:sz w:val="22"/>
        </w:rPr>
        <w:t>Wrapping the responsive web APIs in Flutter or React Native for direct Android and iOS app store deployment.</w:t>
      </w:r>
    </w:p>
    <w:p>
      <w:pPr>
        <w:keepNext/>
        <w:spacing w:before="320" w:after="120"/>
      </w:pPr>
      <w:r>
        <w:rPr>
          <w:rFonts w:ascii="Calibri" w:hAnsi="Calibri"/>
          <w:b/>
          <w:i w:val="0"/>
          <w:color w:val="102B4E"/>
          <w:sz w:val="32"/>
        </w:rPr>
        <w:t>REFERENCES &amp; BIBLIOGRAPHY</w:t>
      </w:r>
    </w:p>
    <w:p>
      <w:pPr>
        <w:spacing w:before="40" w:after="80"/>
      </w:pPr>
      <w:r>
        <w:rPr>
          <w:rFonts w:ascii="Calibri" w:hAnsi="Calibri"/>
          <w:b w:val="0"/>
          <w:i w:val="0"/>
          <w:color w:val="17283D"/>
          <w:sz w:val="20"/>
        </w:rPr>
        <w:t>1. Grinberg, Miguel. (2018). *Flask Web Development: Developing Web Applications with Python*. O'Reilly Media.</w:t>
      </w:r>
    </w:p>
    <w:p>
      <w:pPr>
        <w:spacing w:before="40" w:after="80"/>
      </w:pPr>
      <w:r>
        <w:rPr>
          <w:rFonts w:ascii="Calibri" w:hAnsi="Calibri"/>
          <w:b w:val="0"/>
          <w:i w:val="0"/>
          <w:color w:val="17283D"/>
          <w:sz w:val="20"/>
        </w:rPr>
        <w:t>2. Centurion University of Technology and Management (CUTM). (2026). *Official Academic Prospectus &amp; Departmental Guidelines*. Bhubaneswar, Odisha.</w:t>
      </w:r>
    </w:p>
    <w:p>
      <w:pPr>
        <w:spacing w:before="40" w:after="80"/>
      </w:pPr>
      <w:r>
        <w:rPr>
          <w:rFonts w:ascii="Calibri" w:hAnsi="Calibri"/>
          <w:b w:val="0"/>
          <w:i w:val="0"/>
          <w:color w:val="17283D"/>
          <w:sz w:val="20"/>
        </w:rPr>
        <w:t>3. Fielding, Roy Thomas. (2000). *Architectural Styles and the Design of Network-based Software Architectures*. Ph.D. Dissertation, University of California, Irvine.</w:t>
      </w:r>
    </w:p>
    <w:p>
      <w:pPr>
        <w:spacing w:before="40" w:after="80"/>
      </w:pPr>
      <w:r>
        <w:rPr>
          <w:rFonts w:ascii="Calibri" w:hAnsi="Calibri"/>
          <w:b w:val="0"/>
          <w:i w:val="0"/>
          <w:color w:val="17283D"/>
          <w:sz w:val="20"/>
        </w:rPr>
        <w:t>4. Jones, M., Bradley, J., &amp; Sakimura, N. (2015). *JSON Web Token (JWT)*. RFC 7519, Internet Engineering Task Force (IETF).</w:t>
      </w:r>
    </w:p>
    <w:p>
      <w:pPr>
        <w:spacing w:before="40" w:after="80"/>
      </w:pPr>
      <w:r>
        <w:rPr>
          <w:rFonts w:ascii="Calibri" w:hAnsi="Calibri"/>
          <w:b w:val="0"/>
          <w:i w:val="0"/>
          <w:color w:val="17283D"/>
          <w:sz w:val="20"/>
        </w:rPr>
        <w:t>5. OWASP Foundation. (2025). *OWASP Top 10 Web Application Security Risks*. https://owasp.org/www-project-top-ten/</w:t>
      </w:r>
    </w:p>
    <w:p>
      <w:pPr>
        <w:spacing w:before="40" w:after="80"/>
      </w:pPr>
      <w:r>
        <w:rPr>
          <w:rFonts w:ascii="Calibri" w:hAnsi="Calibri"/>
          <w:b w:val="0"/>
          <w:i w:val="0"/>
          <w:color w:val="17283D"/>
          <w:sz w:val="20"/>
        </w:rPr>
        <w:t>6. Mozilla Developer Network (MDN). (2026). *Web Audio API &amp; Asynchronous Fetch Specifications*. https://developer.mozilla.org/</w:t>
      </w:r>
    </w:p>
    <w:p>
      <w:pPr>
        <w:spacing w:before="40" w:after="80"/>
      </w:pPr>
      <w:r>
        <w:rPr>
          <w:rFonts w:ascii="Calibri" w:hAnsi="Calibri"/>
          <w:b w:val="0"/>
          <w:i w:val="0"/>
          <w:color w:val="17283D"/>
          <w:sz w:val="20"/>
        </w:rPr>
        <w:t>7. National Assessment and Accreditation Council (NAAC). (2024). *Institutional Accreditation Manual for Universities*. Government of India.</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Centurion University of Technology and Management (CUTM)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