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https://kubernetes.io/docs/tasks/configure-pod-container/quality-service-pod/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https://www.replex.io/blog/everything-you-need-to-know-about-kubernetes-quality-of-service-qos-classes</w:t>
        </w:r>
      </w:hyperlink>
      <w:r w:rsidDel="00000000" w:rsidR="00000000" w:rsidRPr="00000000">
        <w:rPr>
          <w:rtl w:val="0"/>
        </w:rPr>
        <w:t xml:space="preserve"> - good article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kubernetes.io/docs/tasks/configure-pod-container/quality-service-pod/" TargetMode="External"/><Relationship Id="rId7" Type="http://schemas.openxmlformats.org/officeDocument/2006/relationships/hyperlink" Target="https://www.replex.io/blog/everything-you-need-to-know-about-kubernetes-quality-of-service-qos-classe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