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AUTOFAST IMPLEMENTATION RECORD</w:t>
      </w:r>
    </w:p>
    <w:p>
      <w:pPr>
        <w:pStyle w:val="Subtitle"/>
        <w:jc w:val="left"/>
      </w:pPr>
      <w:r>
        <w:t>Case 00010716 | Asset 554470 Evaluation Authentication Error</w:t>
      </w:r>
    </w:p>
    <w:p>
      <w:pPr>
        <w:spacing w:before="0" w:after="40" w:line="240" w:lineRule="auto"/>
      </w:pPr>
      <w:r>
        <w:rPr>
          <w:rFonts w:ascii="Calibri" w:hAnsi="Calibri"/>
          <w:b/>
          <w:color w:val="0B2545"/>
          <w:sz w:val="21"/>
        </w:rPr>
        <w:t xml:space="preserve">Salesforce Case: </w:t>
      </w:r>
      <w:r>
        <w:rPr>
          <w:rFonts w:ascii="Calibri" w:hAnsi="Calibri"/>
          <w:color w:val="222222"/>
          <w:sz w:val="21"/>
        </w:rPr>
        <w:t>00010716</w:t>
      </w:r>
    </w:p>
    <w:p>
      <w:pPr>
        <w:spacing w:before="0" w:after="40" w:line="240" w:lineRule="auto"/>
      </w:pPr>
      <w:r>
        <w:rPr>
          <w:rFonts w:ascii="Calibri" w:hAnsi="Calibri"/>
          <w:b/>
          <w:color w:val="0B2545"/>
          <w:sz w:val="21"/>
        </w:rPr>
        <w:t xml:space="preserve">Business Reference: </w:t>
      </w:r>
      <w:r>
        <w:rPr>
          <w:rFonts w:ascii="Calibri" w:hAnsi="Calibri"/>
          <w:color w:val="222222"/>
          <w:sz w:val="21"/>
        </w:rPr>
        <w:t>554470</w:t>
      </w:r>
    </w:p>
    <w:p>
      <w:pPr>
        <w:spacing w:before="0" w:after="40" w:line="240" w:lineRule="auto"/>
      </w:pPr>
      <w:r>
        <w:rPr>
          <w:rFonts w:ascii="Calibri" w:hAnsi="Calibri"/>
          <w:b/>
          <w:color w:val="0B2545"/>
          <w:sz w:val="21"/>
        </w:rPr>
        <w:t xml:space="preserve">RMA: </w:t>
      </w:r>
      <w:r>
        <w:rPr>
          <w:rFonts w:ascii="Calibri" w:hAnsi="Calibri"/>
          <w:color w:val="222222"/>
          <w:sz w:val="21"/>
        </w:rPr>
        <w:t>A-219744</w:t>
      </w:r>
    </w:p>
    <w:p>
      <w:pPr>
        <w:spacing w:before="0" w:after="40" w:line="240" w:lineRule="auto"/>
      </w:pPr>
      <w:r>
        <w:rPr>
          <w:rFonts w:ascii="Calibri" w:hAnsi="Calibri"/>
          <w:b/>
          <w:color w:val="0B2545"/>
          <w:sz w:val="21"/>
        </w:rPr>
        <w:t xml:space="preserve">Affected Evaluation: </w:t>
      </w:r>
      <w:r>
        <w:rPr>
          <w:rFonts w:ascii="Calibri" w:hAnsi="Calibri"/>
          <w:color w:val="222222"/>
          <w:sz w:val="21"/>
        </w:rPr>
        <w:t>E-2026-036262</w:t>
      </w:r>
    </w:p>
    <w:p>
      <w:pPr>
        <w:spacing w:before="0" w:after="40" w:line="240" w:lineRule="auto"/>
      </w:pPr>
      <w:r>
        <w:rPr>
          <w:rFonts w:ascii="Calibri" w:hAnsi="Calibri"/>
          <w:b/>
          <w:color w:val="0B2545"/>
          <w:sz w:val="21"/>
        </w:rPr>
        <w:t xml:space="preserve">Prepared: </w:t>
      </w:r>
      <w:r>
        <w:rPr>
          <w:rFonts w:ascii="Calibri" w:hAnsi="Calibri"/>
          <w:color w:val="222222"/>
          <w:sz w:val="21"/>
        </w:rPr>
        <w:t>September 3, 2026</w:t>
      </w:r>
    </w:p>
    <w:p>
      <w:pPr>
        <w:spacing w:before="0" w:after="40" w:line="240" w:lineRule="auto"/>
      </w:pPr>
      <w:r>
        <w:rPr>
          <w:rFonts w:ascii="Calibri" w:hAnsi="Calibri"/>
          <w:b/>
          <w:color w:val="0B2545"/>
          <w:sz w:val="21"/>
        </w:rPr>
        <w:t xml:space="preserve">Environment Status: </w:t>
      </w:r>
      <w:r>
        <w:rPr>
          <w:rFonts w:ascii="Calibri" w:hAnsi="Calibri"/>
          <w:color w:val="222222"/>
          <w:sz w:val="21"/>
        </w:rPr>
        <w:t>DevDO verified | Production deployed</w:t>
      </w:r>
    </w:p>
    <w:p>
      <w:pPr>
        <w:spacing w:before="0" w:after="40" w:line="240" w:lineRule="auto"/>
      </w:pPr>
      <w:r>
        <w:rPr>
          <w:rFonts w:ascii="Calibri" w:hAnsi="Calibri"/>
          <w:b/>
          <w:color w:val="0B2545"/>
          <w:sz w:val="21"/>
        </w:rPr>
        <w:t xml:space="preserve">Final Status: </w:t>
      </w:r>
      <w:r>
        <w:rPr>
          <w:rFonts w:ascii="Calibri" w:hAnsi="Calibri"/>
          <w:color w:val="222222"/>
          <w:sz w:val="21"/>
        </w:rPr>
        <w:t>DEPLOYED | AUTOMATED VERIFICATION PASSED</w:t>
      </w:r>
    </w:p>
    <w:p>
      <w:pPr>
        <w:spacing w:before="160" w:after="200" w:line="264" w:lineRule="auto"/>
        <w:ind w:left="173" w:right="72"/>
        <w:shd w:fill="F4F6F9"/>
        <w:pBdr>
          <w:left w:val="single" w:sz="18" w:space="8" w:color="1F6D4A"/>
        </w:pBdr>
      </w:pPr>
      <w:r>
        <w:rPr>
          <w:rFonts w:ascii="Calibri" w:hAnsi="Calibri"/>
          <w:b/>
          <w:color w:val="1F6D4A"/>
          <w:sz w:val="21"/>
        </w:rPr>
        <w:t xml:space="preserve">Implementation outcome: </w:t>
      </w:r>
      <w:r>
        <w:rPr>
          <w:rFonts w:ascii="Calibri" w:hAnsi="Calibri"/>
          <w:color w:val="222222"/>
          <w:sz w:val="21"/>
        </w:rPr>
        <w:t>The Evaluation authentication failure reported for asset 554470 has been corrected and deployed to Production. The focused Production regression completed with four passing tests and no failures.</w:t>
      </w:r>
    </w:p>
    <w:p>
      <w:pPr>
        <w:pStyle w:val="Heading1"/>
      </w:pPr>
      <w:r>
        <w:t>1. Business Request</w:t>
      </w:r>
    </w:p>
    <w:p>
      <w:pPr>
        <w:keepLines/>
      </w:pPr>
      <w:r>
        <w:rPr>
          <w:rFonts w:ascii="Calibri" w:hAnsi="Calibri"/>
          <w:b/>
          <w:color w:val="0B2545"/>
        </w:rPr>
        <w:t xml:space="preserve">Reported problem: </w:t>
      </w:r>
      <w:r>
        <w:rPr>
          <w:rFonts w:ascii="Calibri" w:hAnsi="Calibri"/>
          <w:color w:val="222222"/>
        </w:rPr>
        <w:t>The repair team completed the evaluation for asset 554470 but could not authenticate the Evaluation in Salesforce. The page returned 'Attempt to de-reference a null object' and prevented the user from continuing.</w:t>
      </w:r>
    </w:p>
    <w:p>
      <w:pPr>
        <w:keepLines/>
      </w:pPr>
      <w:r>
        <w:rPr>
          <w:rFonts w:ascii="Calibri" w:hAnsi="Calibri"/>
          <w:b/>
          <w:color w:val="0B2545"/>
        </w:rPr>
        <w:t xml:space="preserve">Operational impact: </w:t>
      </w:r>
      <w:r>
        <w:rPr>
          <w:rFonts w:ascii="Calibri" w:hAnsi="Calibri"/>
          <w:color w:val="222222"/>
        </w:rPr>
        <w:t>The technician could provide evaluation notes, but the system error interrupted the normal Evaluation completion process and required Salesforce support involvement.</w:t>
      </w:r>
    </w:p>
    <w:p>
      <w:pPr>
        <w:keepLines/>
      </w:pPr>
      <w:r>
        <w:rPr>
          <w:rFonts w:ascii="Calibri" w:hAnsi="Calibri"/>
          <w:b/>
          <w:color w:val="0B2545"/>
        </w:rPr>
        <w:t xml:space="preserve">Requested outcome: </w:t>
      </w:r>
      <w:r>
        <w:rPr>
          <w:rFonts w:ascii="Calibri" w:hAnsi="Calibri"/>
          <w:color w:val="222222"/>
        </w:rPr>
        <w:t>Allow the existing Evaluation authentication action to complete against the Evaluation where the user started, without a null-reference exception or an update to another Evaluation.</w:t>
      </w:r>
    </w:p>
    <w:p>
      <w:pPr>
        <w:pStyle w:val="Heading1"/>
      </w:pPr>
      <w:r>
        <w:t>2. Affected Production Records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200"/>
        <w:gridCol w:w="2400"/>
        <w:gridCol w:w="4760"/>
      </w:tblGrid>
      <w:tr>
        <w:trPr>
          <w:tblHeader w:val="true"/>
        </w:trPr>
        <w:tc>
          <w:tcPr>
            <w:tcW w:type="dxa" w:w="2200"/>
            <w:vAlign w:val="center"/>
            <w:tcMar>
              <w:top w:w="80" w:type="dxa"/>
              <w:start w:w="120" w:type="dxa"/>
              <w:bottom w:w="80" w:type="dxa"/>
              <w:end w:w="120" w:type="dxa"/>
            </w:tcMar>
            <w:shd w:fill="F2F4F7" w:val="clear"/>
          </w:tcPr>
          <w:p>
            <w:pPr>
              <w:spacing w:before="0" w:after="0"/>
            </w:pPr>
            <w:r>
              <w:rPr>
                <w:rFonts w:ascii="Calibri" w:hAnsi="Calibri"/>
                <w:b/>
                <w:color w:val="0B2545"/>
                <w:sz w:val="19"/>
              </w:rPr>
              <w:t>Record type</w:t>
            </w:r>
          </w:p>
        </w:tc>
        <w:tc>
          <w:tcPr>
            <w:tcW w:type="dxa" w:w="2400"/>
            <w:vAlign w:val="center"/>
            <w:tcMar>
              <w:top w:w="80" w:type="dxa"/>
              <w:start w:w="120" w:type="dxa"/>
              <w:bottom w:w="80" w:type="dxa"/>
              <w:end w:w="120" w:type="dxa"/>
            </w:tcMar>
            <w:shd w:fill="F2F4F7" w:val="clear"/>
          </w:tcPr>
          <w:p>
            <w:pPr>
              <w:spacing w:before="0" w:after="0"/>
            </w:pPr>
            <w:r>
              <w:rPr>
                <w:rFonts w:ascii="Calibri" w:hAnsi="Calibri"/>
                <w:b/>
                <w:color w:val="0B2545"/>
                <w:sz w:val="19"/>
              </w:rPr>
              <w:t>Record</w:t>
            </w:r>
          </w:p>
        </w:tc>
        <w:tc>
          <w:tcPr>
            <w:tcW w:type="dxa" w:w="4760"/>
            <w:vAlign w:val="center"/>
            <w:tcMar>
              <w:top w:w="80" w:type="dxa"/>
              <w:start w:w="120" w:type="dxa"/>
              <w:bottom w:w="80" w:type="dxa"/>
              <w:end w:w="120" w:type="dxa"/>
            </w:tcMar>
            <w:shd w:fill="F2F4F7" w:val="clear"/>
          </w:tcPr>
          <w:p>
            <w:pPr>
              <w:spacing w:before="0" w:after="0"/>
            </w:pPr>
            <w:r>
              <w:rPr>
                <w:rFonts w:ascii="Calibri" w:hAnsi="Calibri"/>
                <w:b/>
                <w:color w:val="0B2545"/>
                <w:sz w:val="19"/>
              </w:rPr>
              <w:t>Dry-run finding</w:t>
            </w:r>
          </w:p>
        </w:tc>
      </w:tr>
      <w:tr>
        <w:tc>
          <w:tcPr>
            <w:tcW w:type="dxa" w:w="2200"/>
          </w:tcPr>
          <w:p>
            <w:pPr>
              <w:spacing w:before="0" w:after="0" w:line="252" w:lineRule="auto"/>
            </w:pPr>
            <w:r>
              <w:rPr>
                <w:rFonts w:ascii="Calibri" w:hAnsi="Calibri"/>
                <w:b w:val="0"/>
                <w:color w:val="222222"/>
                <w:sz w:val="19"/>
              </w:rPr>
              <w:t>Product Item / Asset</w:t>
            </w:r>
          </w:p>
        </w:tc>
        <w:tc>
          <w:tcPr>
            <w:tcW w:type="dxa" w:w="2400"/>
          </w:tcPr>
          <w:p>
            <w:pPr>
              <w:spacing w:before="0" w:after="0" w:line="252" w:lineRule="auto"/>
            </w:pPr>
            <w:r>
              <w:rPr>
                <w:rFonts w:ascii="Calibri" w:hAnsi="Calibri"/>
                <w:b w:val="0"/>
                <w:color w:val="222222"/>
                <w:sz w:val="19"/>
              </w:rPr>
              <w:t>554470</w:t>
            </w:r>
          </w:p>
        </w:tc>
        <w:tc>
          <w:tcPr>
            <w:tcW w:type="dxa" w:w="4760"/>
          </w:tcPr>
          <w:p>
            <w:pPr>
              <w:spacing w:before="0" w:after="0" w:line="252" w:lineRule="auto"/>
            </w:pPr>
            <w:r>
              <w:rPr>
                <w:rFonts w:ascii="Calibri" w:hAnsi="Calibri"/>
                <w:b w:val="0"/>
                <w:color w:val="222222"/>
                <w:sz w:val="19"/>
              </w:rPr>
              <w:t>Record exists and is linked to the reported repair activity.</w:t>
            </w:r>
          </w:p>
        </w:tc>
      </w:tr>
      <w:tr>
        <w:tc>
          <w:tcPr>
            <w:tcW w:type="dxa" w:w="2200"/>
          </w:tcPr>
          <w:p>
            <w:pPr>
              <w:spacing w:before="0" w:after="0" w:line="252" w:lineRule="auto"/>
            </w:pPr>
            <w:r>
              <w:rPr>
                <w:rFonts w:ascii="Calibri" w:hAnsi="Calibri"/>
                <w:b w:val="0"/>
                <w:color w:val="222222"/>
                <w:sz w:val="19"/>
              </w:rPr>
              <w:t>RMA</w:t>
            </w:r>
          </w:p>
        </w:tc>
        <w:tc>
          <w:tcPr>
            <w:tcW w:type="dxa" w:w="2400"/>
          </w:tcPr>
          <w:p>
            <w:pPr>
              <w:spacing w:before="0" w:after="0" w:line="252" w:lineRule="auto"/>
            </w:pPr>
            <w:r>
              <w:rPr>
                <w:rFonts w:ascii="Calibri" w:hAnsi="Calibri"/>
                <w:b w:val="0"/>
                <w:color w:val="222222"/>
                <w:sz w:val="19"/>
              </w:rPr>
              <w:t>A-219744</w:t>
            </w:r>
          </w:p>
        </w:tc>
        <w:tc>
          <w:tcPr>
            <w:tcW w:type="dxa" w:w="4760"/>
          </w:tcPr>
          <w:p>
            <w:pPr>
              <w:spacing w:before="0" w:after="0" w:line="252" w:lineRule="auto"/>
            </w:pPr>
            <w:r>
              <w:rPr>
                <w:rFonts w:ascii="Calibri" w:hAnsi="Calibri"/>
                <w:b w:val="0"/>
                <w:color w:val="222222"/>
                <w:sz w:val="19"/>
              </w:rPr>
              <w:t>Record exists and has two related Evaluations.</w:t>
            </w:r>
          </w:p>
        </w:tc>
      </w:tr>
      <w:tr>
        <w:tc>
          <w:tcPr>
            <w:tcW w:type="dxa" w:w="2200"/>
          </w:tcPr>
          <w:p>
            <w:pPr>
              <w:spacing w:before="0" w:after="0" w:line="252" w:lineRule="auto"/>
            </w:pPr>
            <w:r>
              <w:rPr>
                <w:rFonts w:ascii="Calibri" w:hAnsi="Calibri"/>
                <w:b w:val="0"/>
                <w:color w:val="222222"/>
                <w:sz w:val="19"/>
              </w:rPr>
              <w:t>Evaluation</w:t>
            </w:r>
          </w:p>
        </w:tc>
        <w:tc>
          <w:tcPr>
            <w:tcW w:type="dxa" w:w="2400"/>
          </w:tcPr>
          <w:p>
            <w:pPr>
              <w:spacing w:before="0" w:after="0" w:line="252" w:lineRule="auto"/>
            </w:pPr>
            <w:r>
              <w:rPr>
                <w:rFonts w:ascii="Calibri" w:hAnsi="Calibri"/>
                <w:b w:val="0"/>
                <w:color w:val="222222"/>
                <w:sz w:val="19"/>
              </w:rPr>
              <w:t>E-2026-036262</w:t>
            </w:r>
          </w:p>
        </w:tc>
        <w:tc>
          <w:tcPr>
            <w:tcW w:type="dxa" w:w="4760"/>
          </w:tcPr>
          <w:p>
            <w:pPr>
              <w:spacing w:before="0" w:after="0" w:line="252" w:lineRule="auto"/>
            </w:pPr>
            <w:r>
              <w:rPr>
                <w:rFonts w:ascii="Calibri" w:hAnsi="Calibri"/>
                <w:b w:val="0"/>
                <w:color w:val="222222"/>
                <w:sz w:val="19"/>
              </w:rPr>
              <w:t>Original Evaluation created by Cole Rhode; reported failure.</w:t>
            </w:r>
          </w:p>
        </w:tc>
      </w:tr>
      <w:tr>
        <w:tc>
          <w:tcPr>
            <w:tcW w:type="dxa" w:w="2200"/>
          </w:tcPr>
          <w:p>
            <w:pPr>
              <w:spacing w:before="0" w:after="0" w:line="252" w:lineRule="auto"/>
            </w:pPr>
            <w:r>
              <w:rPr>
                <w:rFonts w:ascii="Calibri" w:hAnsi="Calibri"/>
                <w:b w:val="0"/>
                <w:color w:val="222222"/>
                <w:sz w:val="19"/>
              </w:rPr>
              <w:t>Evaluation</w:t>
            </w:r>
          </w:p>
        </w:tc>
        <w:tc>
          <w:tcPr>
            <w:tcW w:type="dxa" w:w="2400"/>
          </w:tcPr>
          <w:p>
            <w:pPr>
              <w:spacing w:before="0" w:after="0" w:line="252" w:lineRule="auto"/>
            </w:pPr>
            <w:r>
              <w:rPr>
                <w:rFonts w:ascii="Calibri" w:hAnsi="Calibri"/>
                <w:b w:val="0"/>
                <w:color w:val="222222"/>
                <w:sz w:val="19"/>
              </w:rPr>
              <w:t>E-2026-036275</w:t>
            </w:r>
          </w:p>
        </w:tc>
        <w:tc>
          <w:tcPr>
            <w:tcW w:type="dxa" w:w="4760"/>
          </w:tcPr>
          <w:p>
            <w:pPr>
              <w:spacing w:before="0" w:after="0" w:line="252" w:lineRule="auto"/>
            </w:pPr>
            <w:r>
              <w:rPr>
                <w:rFonts w:ascii="Calibri" w:hAnsi="Calibri"/>
                <w:b w:val="0"/>
                <w:color w:val="222222"/>
                <w:sz w:val="19"/>
              </w:rPr>
              <w:t>Newer related Evaluation created by Rachel Croft.</w:t>
            </w:r>
          </w:p>
        </w:tc>
      </w:tr>
      <w:tr>
        <w:tc>
          <w:tcPr>
            <w:tcW w:type="dxa" w:w="2200"/>
          </w:tcPr>
          <w:p>
            <w:pPr>
              <w:spacing w:before="0" w:after="0" w:line="252" w:lineRule="auto"/>
            </w:pPr>
            <w:r>
              <w:rPr>
                <w:rFonts w:ascii="Calibri" w:hAnsi="Calibri"/>
                <w:b w:val="0"/>
                <w:color w:val="222222"/>
                <w:sz w:val="19"/>
              </w:rPr>
              <w:t>Site user</w:t>
            </w:r>
          </w:p>
        </w:tc>
        <w:tc>
          <w:tcPr>
            <w:tcW w:type="dxa" w:w="2400"/>
          </w:tcPr>
          <w:p>
            <w:pPr>
              <w:spacing w:before="0" w:after="0" w:line="252" w:lineRule="auto"/>
            </w:pPr>
            <w:r>
              <w:rPr>
                <w:rFonts w:ascii="Calibri" w:hAnsi="Calibri"/>
                <w:b w:val="0"/>
                <w:color w:val="222222"/>
                <w:sz w:val="19"/>
              </w:rPr>
              <w:t>Approval Form Site Guest User</w:t>
            </w:r>
          </w:p>
        </w:tc>
        <w:tc>
          <w:tcPr>
            <w:tcW w:type="dxa" w:w="4760"/>
          </w:tcPr>
          <w:p>
            <w:pPr>
              <w:spacing w:before="0" w:after="0" w:line="252" w:lineRule="auto"/>
            </w:pPr>
            <w:r>
              <w:rPr>
                <w:rFonts w:ascii="Calibri" w:hAnsi="Calibri"/>
                <w:b w:val="0"/>
                <w:color w:val="222222"/>
                <w:sz w:val="19"/>
              </w:rPr>
              <w:t>Active under the Approval Form Profile.</w:t>
            </w:r>
          </w:p>
        </w:tc>
      </w:tr>
    </w:tbl>
    <w:p>
      <w:pPr>
        <w:spacing w:after="0"/>
      </w:pPr>
    </w:p>
    <w:p>
      <w:pPr>
        <w:spacing w:before="160" w:after="200" w:line="264" w:lineRule="auto"/>
        <w:ind w:left="173" w:right="72"/>
        <w:shd w:fill="F4F6F9"/>
        <w:pBdr>
          <w:left w:val="single" w:sz="18" w:space="8" w:color="2E74B5"/>
        </w:pBdr>
      </w:pPr>
      <w:r>
        <w:rPr>
          <w:rFonts w:ascii="Calibri" w:hAnsi="Calibri"/>
          <w:b/>
          <w:color w:val="2E74B5"/>
          <w:sz w:val="21"/>
        </w:rPr>
        <w:t xml:space="preserve">Why the second Evaluation matters: </w:t>
      </w:r>
      <w:r>
        <w:rPr>
          <w:rFonts w:ascii="Calibri" w:hAnsi="Calibri"/>
          <w:color w:val="222222"/>
          <w:sz w:val="21"/>
        </w:rPr>
        <w:t>Because two Evaluations are related to the same RMA, any logic that guesses the most recently modified Evaluation can select the wrong record. The fix removes that ambiguity.</w:t>
      </w:r>
    </w:p>
    <w:p>
      <w:pPr>
        <w:spacing w:after="0"/>
      </w:pPr>
      <w:r>
        <w:br w:type="page"/>
      </w:r>
    </w:p>
    <w:p>
      <w:pPr>
        <w:pStyle w:val="Heading1"/>
      </w:pPr>
      <w:r>
        <w:t>3. Steps to Reproduce the Original Issue</w:t>
      </w:r>
    </w:p>
    <w:p>
      <w:pPr>
        <w:keepLines/>
      </w:pPr>
      <w:r>
        <w:rPr>
          <w:rFonts w:ascii="Calibri" w:hAnsi="Calibri"/>
          <w:b/>
          <w:color w:val="0B2545"/>
        </w:rPr>
        <w:t xml:space="preserve">Precondition: </w:t>
      </w:r>
      <w:r>
        <w:rPr>
          <w:rFonts w:ascii="Calibri" w:hAnsi="Calibri"/>
          <w:color w:val="222222"/>
        </w:rPr>
        <w:t>Use an authorized repair user with access to asset 554470, RMA A-219744, and Evaluation E-2026-036262. These steps document the original Production behavior and are not instructions to alter the historical records.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700"/>
        <w:gridCol w:w="4800"/>
        <w:gridCol w:w="3860"/>
      </w:tblGrid>
      <w:tr>
        <w:trPr>
          <w:tblHeader w:val="true"/>
        </w:trPr>
        <w:tc>
          <w:tcPr>
            <w:tcW w:type="dxa" w:w="700"/>
            <w:vAlign w:val="center"/>
            <w:tcMar>
              <w:top w:w="80" w:type="dxa"/>
              <w:start w:w="120" w:type="dxa"/>
              <w:bottom w:w="80" w:type="dxa"/>
              <w:end w:w="120" w:type="dxa"/>
            </w:tcMar>
            <w:shd w:fill="F2F4F7" w:val="clear"/>
          </w:tcPr>
          <w:p>
            <w:pPr>
              <w:spacing w:before="0" w:after="0"/>
            </w:pPr>
            <w:r>
              <w:rPr>
                <w:rFonts w:ascii="Calibri" w:hAnsi="Calibri"/>
                <w:b/>
                <w:color w:val="0B2545"/>
                <w:sz w:val="19"/>
              </w:rPr>
              <w:t>Step</w:t>
            </w:r>
          </w:p>
        </w:tc>
        <w:tc>
          <w:tcPr>
            <w:tcW w:type="dxa" w:w="4800"/>
            <w:vAlign w:val="center"/>
            <w:tcMar>
              <w:top w:w="80" w:type="dxa"/>
              <w:start w:w="120" w:type="dxa"/>
              <w:bottom w:w="80" w:type="dxa"/>
              <w:end w:w="120" w:type="dxa"/>
            </w:tcMar>
            <w:shd w:fill="F2F4F7" w:val="clear"/>
          </w:tcPr>
          <w:p>
            <w:pPr>
              <w:spacing w:before="0" w:after="0"/>
            </w:pPr>
            <w:r>
              <w:rPr>
                <w:rFonts w:ascii="Calibri" w:hAnsi="Calibri"/>
                <w:b/>
                <w:color w:val="0B2545"/>
                <w:sz w:val="19"/>
              </w:rPr>
              <w:t>Action</w:t>
            </w:r>
          </w:p>
        </w:tc>
        <w:tc>
          <w:tcPr>
            <w:tcW w:type="dxa" w:w="3860"/>
            <w:vAlign w:val="center"/>
            <w:tcMar>
              <w:top w:w="80" w:type="dxa"/>
              <w:start w:w="120" w:type="dxa"/>
              <w:bottom w:w="80" w:type="dxa"/>
              <w:end w:w="120" w:type="dxa"/>
            </w:tcMar>
            <w:shd w:fill="F2F4F7" w:val="clear"/>
          </w:tcPr>
          <w:p>
            <w:pPr>
              <w:spacing w:before="0" w:after="0"/>
            </w:pPr>
            <w:r>
              <w:rPr>
                <w:rFonts w:ascii="Calibri" w:hAnsi="Calibri"/>
                <w:b/>
                <w:color w:val="0B2545"/>
                <w:sz w:val="19"/>
              </w:rPr>
              <w:t>Original result</w:t>
            </w:r>
          </w:p>
        </w:tc>
      </w:tr>
      <w:tr>
        <w:tc>
          <w:tcPr>
            <w:tcW w:type="dxa" w:w="700"/>
          </w:tcPr>
          <w:p>
            <w:pPr>
              <w:spacing w:before="0" w:after="0" w:line="252" w:lineRule="auto"/>
            </w:pPr>
            <w:r>
              <w:rPr>
                <w:rFonts w:ascii="Calibri" w:hAnsi="Calibri"/>
                <w:b w:val="0"/>
                <w:color w:val="222222"/>
                <w:sz w:val="19"/>
              </w:rPr>
              <w:t>1</w:t>
            </w:r>
          </w:p>
        </w:tc>
        <w:tc>
          <w:tcPr>
            <w:tcW w:type="dxa" w:w="4800"/>
          </w:tcPr>
          <w:p>
            <w:pPr>
              <w:spacing w:before="0" w:after="0" w:line="252" w:lineRule="auto"/>
            </w:pPr>
            <w:r>
              <w:rPr>
                <w:rFonts w:ascii="Calibri" w:hAnsi="Calibri"/>
                <w:b w:val="0"/>
                <w:color w:val="222222"/>
                <w:sz w:val="19"/>
              </w:rPr>
              <w:t>Open asset 554470 and confirm the related RMA is A-219744.</w:t>
            </w:r>
          </w:p>
        </w:tc>
        <w:tc>
          <w:tcPr>
            <w:tcW w:type="dxa" w:w="3860"/>
          </w:tcPr>
          <w:p>
            <w:pPr>
              <w:spacing w:before="0" w:after="0" w:line="252" w:lineRule="auto"/>
            </w:pPr>
            <w:r>
              <w:rPr>
                <w:rFonts w:ascii="Calibri" w:hAnsi="Calibri"/>
                <w:b w:val="0"/>
                <w:color w:val="222222"/>
                <w:sz w:val="19"/>
              </w:rPr>
              <w:t>The reported repair context is visible.</w:t>
            </w:r>
          </w:p>
        </w:tc>
      </w:tr>
      <w:tr>
        <w:tc>
          <w:tcPr>
            <w:tcW w:type="dxa" w:w="700"/>
          </w:tcPr>
          <w:p>
            <w:pPr>
              <w:spacing w:before="0" w:after="0" w:line="252" w:lineRule="auto"/>
            </w:pPr>
            <w:r>
              <w:rPr>
                <w:rFonts w:ascii="Calibri" w:hAnsi="Calibri"/>
                <w:b w:val="0"/>
                <w:color w:val="222222"/>
                <w:sz w:val="19"/>
              </w:rPr>
              <w:t>2</w:t>
            </w:r>
          </w:p>
        </w:tc>
        <w:tc>
          <w:tcPr>
            <w:tcW w:type="dxa" w:w="4800"/>
          </w:tcPr>
          <w:p>
            <w:pPr>
              <w:spacing w:before="0" w:after="0" w:line="252" w:lineRule="auto"/>
            </w:pPr>
            <w:r>
              <w:rPr>
                <w:rFonts w:ascii="Calibri" w:hAnsi="Calibri"/>
                <w:b w:val="0"/>
                <w:color w:val="222222"/>
                <w:sz w:val="19"/>
              </w:rPr>
              <w:t>Open Evaluation E-2026-036262 from the RMA.</w:t>
            </w:r>
          </w:p>
        </w:tc>
        <w:tc>
          <w:tcPr>
            <w:tcW w:type="dxa" w:w="3860"/>
          </w:tcPr>
          <w:p>
            <w:pPr>
              <w:spacing w:before="0" w:after="0" w:line="252" w:lineRule="auto"/>
            </w:pPr>
            <w:r>
              <w:rPr>
                <w:rFonts w:ascii="Calibri" w:hAnsi="Calibri"/>
                <w:b w:val="0"/>
                <w:color w:val="222222"/>
                <w:sz w:val="19"/>
              </w:rPr>
              <w:t>The completed evaluation details are available.</w:t>
            </w:r>
          </w:p>
        </w:tc>
      </w:tr>
      <w:tr>
        <w:tc>
          <w:tcPr>
            <w:tcW w:type="dxa" w:w="700"/>
          </w:tcPr>
          <w:p>
            <w:pPr>
              <w:spacing w:before="0" w:after="0" w:line="252" w:lineRule="auto"/>
            </w:pPr>
            <w:r>
              <w:rPr>
                <w:rFonts w:ascii="Calibri" w:hAnsi="Calibri"/>
                <w:b w:val="0"/>
                <w:color w:val="222222"/>
                <w:sz w:val="19"/>
              </w:rPr>
              <w:t>3</w:t>
            </w:r>
          </w:p>
        </w:tc>
        <w:tc>
          <w:tcPr>
            <w:tcW w:type="dxa" w:w="4800"/>
          </w:tcPr>
          <w:p>
            <w:pPr>
              <w:spacing w:before="0" w:after="0" w:line="252" w:lineRule="auto"/>
            </w:pPr>
            <w:r>
              <w:rPr>
                <w:rFonts w:ascii="Calibri" w:hAnsi="Calibri"/>
                <w:b w:val="0"/>
                <w:color w:val="222222"/>
                <w:sz w:val="19"/>
              </w:rPr>
              <w:t>Select the existing Evaluation authentication action.</w:t>
            </w:r>
          </w:p>
        </w:tc>
        <w:tc>
          <w:tcPr>
            <w:tcW w:type="dxa" w:w="3860"/>
          </w:tcPr>
          <w:p>
            <w:pPr>
              <w:spacing w:before="0" w:after="0" w:line="252" w:lineRule="auto"/>
            </w:pPr>
            <w:r>
              <w:rPr>
                <w:rFonts w:ascii="Calibri" w:hAnsi="Calibri"/>
                <w:b w:val="0"/>
                <w:color w:val="222222"/>
                <w:sz w:val="19"/>
              </w:rPr>
              <w:t>Salesforce starts the authentication return process.</w:t>
            </w:r>
          </w:p>
        </w:tc>
      </w:tr>
      <w:tr>
        <w:tc>
          <w:tcPr>
            <w:tcW w:type="dxa" w:w="700"/>
          </w:tcPr>
          <w:p>
            <w:pPr>
              <w:spacing w:before="0" w:after="0" w:line="252" w:lineRule="auto"/>
            </w:pPr>
            <w:r>
              <w:rPr>
                <w:rFonts w:ascii="Calibri" w:hAnsi="Calibri"/>
                <w:b w:val="0"/>
                <w:color w:val="222222"/>
                <w:sz w:val="19"/>
              </w:rPr>
              <w:t>4</w:t>
            </w:r>
          </w:p>
        </w:tc>
        <w:tc>
          <w:tcPr>
            <w:tcW w:type="dxa" w:w="4800"/>
          </w:tcPr>
          <w:p>
            <w:pPr>
              <w:spacing w:before="0" w:after="0" w:line="252" w:lineRule="auto"/>
            </w:pPr>
            <w:r>
              <w:rPr>
                <w:rFonts w:ascii="Calibri" w:hAnsi="Calibri"/>
                <w:b w:val="0"/>
                <w:color w:val="222222"/>
                <w:sz w:val="19"/>
              </w:rPr>
              <w:t>Allow the process to return to Salesforce.</w:t>
            </w:r>
          </w:p>
        </w:tc>
        <w:tc>
          <w:tcPr>
            <w:tcW w:type="dxa" w:w="3860"/>
          </w:tcPr>
          <w:p>
            <w:pPr>
              <w:spacing w:before="0" w:after="0" w:line="252" w:lineRule="auto"/>
            </w:pPr>
            <w:r>
              <w:rPr>
                <w:rFonts w:ascii="Calibri" w:hAnsi="Calibri"/>
                <w:b w:val="0"/>
                <w:color w:val="222222"/>
                <w:sz w:val="19"/>
              </w:rPr>
              <w:t>The page displays 'Attempt to de-reference a null object'.</w:t>
            </w:r>
          </w:p>
        </w:tc>
      </w:tr>
      <w:tr>
        <w:tc>
          <w:tcPr>
            <w:tcW w:type="dxa" w:w="700"/>
          </w:tcPr>
          <w:p>
            <w:pPr>
              <w:spacing w:before="0" w:after="0" w:line="252" w:lineRule="auto"/>
            </w:pPr>
            <w:r>
              <w:rPr>
                <w:rFonts w:ascii="Calibri" w:hAnsi="Calibri"/>
                <w:b w:val="0"/>
                <w:color w:val="222222"/>
                <w:sz w:val="19"/>
              </w:rPr>
              <w:t>5</w:t>
            </w:r>
          </w:p>
        </w:tc>
        <w:tc>
          <w:tcPr>
            <w:tcW w:type="dxa" w:w="4800"/>
          </w:tcPr>
          <w:p>
            <w:pPr>
              <w:spacing w:before="0" w:after="0" w:line="252" w:lineRule="auto"/>
            </w:pPr>
            <w:r>
              <w:rPr>
                <w:rFonts w:ascii="Calibri" w:hAnsi="Calibri"/>
                <w:b w:val="0"/>
                <w:color w:val="222222"/>
                <w:sz w:val="19"/>
              </w:rPr>
              <w:t>Review the Evaluation after the error.</w:t>
            </w:r>
          </w:p>
        </w:tc>
        <w:tc>
          <w:tcPr>
            <w:tcW w:type="dxa" w:w="3860"/>
          </w:tcPr>
          <w:p>
            <w:pPr>
              <w:spacing w:before="0" w:after="0" w:line="252" w:lineRule="auto"/>
            </w:pPr>
            <w:r>
              <w:rPr>
                <w:rFonts w:ascii="Calibri" w:hAnsi="Calibri"/>
                <w:b w:val="0"/>
                <w:color w:val="222222"/>
                <w:sz w:val="19"/>
              </w:rPr>
              <w:t>The user cannot reliably continue the Evaluation process.</w:t>
            </w:r>
          </w:p>
        </w:tc>
      </w:tr>
    </w:tbl>
    <w:p>
      <w:pPr>
        <w:spacing w:after="0"/>
      </w:pPr>
    </w:p>
    <w:p>
      <w:pPr>
        <w:keepLines/>
      </w:pPr>
      <w:r>
        <w:rPr>
          <w:rFonts w:ascii="Calibri" w:hAnsi="Calibri"/>
          <w:b/>
          <w:color w:val="0B2545"/>
        </w:rPr>
        <w:t xml:space="preserve">Expected result: </w:t>
      </w:r>
      <w:r>
        <w:rPr>
          <w:rFonts w:ascii="Calibri" w:hAnsi="Calibri"/>
          <w:color w:val="222222"/>
        </w:rPr>
        <w:t>Salesforce returns to E-2026-036262, continues the existing Evaluation process, and does not modify E-2026-036275 or any unrelated Evaluation.</w:t>
      </w:r>
    </w:p>
    <w:p>
      <w:pPr>
        <w:pStyle w:val="Heading1"/>
      </w:pPr>
      <w:r>
        <w:t>4. Root Cause</w:t>
      </w:r>
    </w:p>
    <w:p>
      <w:pPr>
        <w:keepLines/>
      </w:pPr>
      <w:r>
        <w:rPr>
          <w:rFonts w:ascii="Calibri" w:hAnsi="Calibri"/>
          <w:b/>
          <w:color w:val="0B2545"/>
        </w:rPr>
        <w:t xml:space="preserve">Record context was lost: </w:t>
      </w:r>
      <w:r>
        <w:rPr>
          <w:rFonts w:ascii="Calibri" w:hAnsi="Calibri"/>
          <w:color w:val="222222"/>
        </w:rPr>
        <w:t>The external authentication return did not reliably retain the Id of the Evaluation where the user began.</w:t>
      </w:r>
    </w:p>
    <w:p>
      <w:pPr>
        <w:keepLines/>
      </w:pPr>
      <w:r>
        <w:rPr>
          <w:rFonts w:ascii="Calibri" w:hAnsi="Calibri"/>
          <w:b/>
          <w:color w:val="0B2545"/>
        </w:rPr>
        <w:t xml:space="preserve">Unsafe recovery logic: </w:t>
      </w:r>
      <w:r>
        <w:rPr>
          <w:rFonts w:ascii="Calibri" w:hAnsi="Calibri"/>
          <w:color w:val="222222"/>
        </w:rPr>
        <w:t>When the Evaluation Id was unavailable, the controller attempted to recover by selecting the most recently modified Evaluation for the current user. That approach could return no usable record or a different Evaluation.</w:t>
      </w:r>
    </w:p>
    <w:p>
      <w:pPr>
        <w:keepLines/>
      </w:pPr>
      <w:r>
        <w:rPr>
          <w:rFonts w:ascii="Calibri" w:hAnsi="Calibri"/>
          <w:b/>
          <w:color w:val="0B2545"/>
        </w:rPr>
        <w:t xml:space="preserve">Missing defensive checks: </w:t>
      </w:r>
      <w:r>
        <w:rPr>
          <w:rFonts w:ascii="Calibri" w:hAnsi="Calibri"/>
          <w:color w:val="222222"/>
        </w:rPr>
        <w:t>The controller assumed that the Evaluation and its related RMA, Product Item, test data, and folder configuration were present. A missing value could therefore be dereferenced instead of producing a readable message.</w:t>
      </w:r>
    </w:p>
    <w:p>
      <w:pPr>
        <w:pStyle w:val="Heading1"/>
      </w:pPr>
      <w:r>
        <w:t>5. Implemented Solution</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500"/>
        <w:gridCol w:w="6860"/>
      </w:tblGrid>
      <w:tr>
        <w:trPr>
          <w:tblHeader w:val="true"/>
        </w:trPr>
        <w:tc>
          <w:tcPr>
            <w:tcW w:type="dxa" w:w="2500"/>
            <w:vAlign w:val="center"/>
            <w:tcMar>
              <w:top w:w="80" w:type="dxa"/>
              <w:start w:w="120" w:type="dxa"/>
              <w:bottom w:w="80" w:type="dxa"/>
              <w:end w:w="120" w:type="dxa"/>
            </w:tcMar>
            <w:shd w:fill="F2F4F7" w:val="clear"/>
          </w:tcPr>
          <w:p>
            <w:pPr>
              <w:spacing w:before="0" w:after="0"/>
            </w:pPr>
            <w:r>
              <w:rPr>
                <w:rFonts w:ascii="Calibri" w:hAnsi="Calibri"/>
                <w:b/>
                <w:color w:val="0B2545"/>
                <w:sz w:val="19"/>
              </w:rPr>
              <w:t>Control</w:t>
            </w:r>
          </w:p>
        </w:tc>
        <w:tc>
          <w:tcPr>
            <w:tcW w:type="dxa" w:w="6860"/>
            <w:vAlign w:val="center"/>
            <w:tcMar>
              <w:top w:w="80" w:type="dxa"/>
              <w:start w:w="120" w:type="dxa"/>
              <w:bottom w:w="80" w:type="dxa"/>
              <w:end w:w="120" w:type="dxa"/>
            </w:tcMar>
            <w:shd w:fill="F2F4F7" w:val="clear"/>
          </w:tcPr>
          <w:p>
            <w:pPr>
              <w:spacing w:before="0" w:after="0"/>
            </w:pPr>
            <w:r>
              <w:rPr>
                <w:rFonts w:ascii="Calibri" w:hAnsi="Calibri"/>
                <w:b/>
                <w:color w:val="0B2545"/>
                <w:sz w:val="19"/>
              </w:rPr>
              <w:t>Implementation</w:t>
            </w:r>
          </w:p>
        </w:tc>
      </w:tr>
      <w:tr>
        <w:tc>
          <w:tcPr>
            <w:tcW w:type="dxa" w:w="2500"/>
          </w:tcPr>
          <w:p>
            <w:pPr>
              <w:spacing w:before="0" w:after="0" w:line="252" w:lineRule="auto"/>
            </w:pPr>
            <w:r>
              <w:rPr>
                <w:rFonts w:ascii="Calibri" w:hAnsi="Calibri"/>
                <w:b w:val="0"/>
                <w:color w:val="222222"/>
                <w:sz w:val="19"/>
              </w:rPr>
              <w:t>Exact-record return</w:t>
            </w:r>
          </w:p>
        </w:tc>
        <w:tc>
          <w:tcPr>
            <w:tcW w:type="dxa" w:w="6860"/>
          </w:tcPr>
          <w:p>
            <w:pPr>
              <w:spacing w:before="0" w:after="0" w:line="252" w:lineRule="auto"/>
            </w:pPr>
            <w:r>
              <w:rPr>
                <w:rFonts w:ascii="Calibri" w:hAnsi="Calibri"/>
                <w:b w:val="0"/>
                <w:color w:val="222222"/>
                <w:sz w:val="19"/>
              </w:rPr>
              <w:t>The originating Evaluation Id is retained through the authentication state and restored when Salesforce receives the return request.</w:t>
            </w:r>
          </w:p>
        </w:tc>
      </w:tr>
      <w:tr>
        <w:tc>
          <w:tcPr>
            <w:tcW w:type="dxa" w:w="2500"/>
          </w:tcPr>
          <w:p>
            <w:pPr>
              <w:spacing w:before="0" w:after="0" w:line="252" w:lineRule="auto"/>
            </w:pPr>
            <w:r>
              <w:rPr>
                <w:rFonts w:ascii="Calibri" w:hAnsi="Calibri"/>
                <w:b w:val="0"/>
                <w:color w:val="222222"/>
                <w:sz w:val="19"/>
              </w:rPr>
              <w:t>Type validation</w:t>
            </w:r>
          </w:p>
        </w:tc>
        <w:tc>
          <w:tcPr>
            <w:tcW w:type="dxa" w:w="6860"/>
          </w:tcPr>
          <w:p>
            <w:pPr>
              <w:spacing w:before="0" w:after="0" w:line="252" w:lineRule="auto"/>
            </w:pPr>
            <w:r>
              <w:rPr>
                <w:rFonts w:ascii="Calibri" w:hAnsi="Calibri"/>
                <w:b w:val="0"/>
                <w:color w:val="222222"/>
                <w:sz w:val="19"/>
              </w:rPr>
              <w:t>The returned Id is accepted only when it belongs to the Evaluation object.</w:t>
            </w:r>
          </w:p>
        </w:tc>
      </w:tr>
      <w:tr>
        <w:tc>
          <w:tcPr>
            <w:tcW w:type="dxa" w:w="2500"/>
          </w:tcPr>
          <w:p>
            <w:pPr>
              <w:spacing w:before="0" w:after="0" w:line="252" w:lineRule="auto"/>
            </w:pPr>
            <w:r>
              <w:rPr>
                <w:rFonts w:ascii="Calibri" w:hAnsi="Calibri"/>
                <w:b w:val="0"/>
                <w:color w:val="222222"/>
                <w:sz w:val="19"/>
              </w:rPr>
              <w:t>No record guessing</w:t>
            </w:r>
          </w:p>
        </w:tc>
        <w:tc>
          <w:tcPr>
            <w:tcW w:type="dxa" w:w="6860"/>
          </w:tcPr>
          <w:p>
            <w:pPr>
              <w:spacing w:before="0" w:after="0" w:line="252" w:lineRule="auto"/>
            </w:pPr>
            <w:r>
              <w:rPr>
                <w:rFonts w:ascii="Calibri" w:hAnsi="Calibri"/>
                <w:b w:val="0"/>
                <w:color w:val="222222"/>
                <w:sz w:val="19"/>
              </w:rPr>
              <w:t>The latest-modified-Evaluation fallback was removed.</w:t>
            </w:r>
          </w:p>
        </w:tc>
      </w:tr>
      <w:tr>
        <w:tc>
          <w:tcPr>
            <w:tcW w:type="dxa" w:w="2500"/>
          </w:tcPr>
          <w:p>
            <w:pPr>
              <w:spacing w:before="0" w:after="0" w:line="252" w:lineRule="auto"/>
            </w:pPr>
            <w:r>
              <w:rPr>
                <w:rFonts w:ascii="Calibri" w:hAnsi="Calibri"/>
                <w:b w:val="0"/>
                <w:color w:val="222222"/>
                <w:sz w:val="19"/>
              </w:rPr>
              <w:t>Null-safe processing</w:t>
            </w:r>
          </w:p>
        </w:tc>
        <w:tc>
          <w:tcPr>
            <w:tcW w:type="dxa" w:w="6860"/>
          </w:tcPr>
          <w:p>
            <w:pPr>
              <w:spacing w:before="0" w:after="0" w:line="252" w:lineRule="auto"/>
            </w:pPr>
            <w:r>
              <w:rPr>
                <w:rFonts w:ascii="Calibri" w:hAnsi="Calibri"/>
                <w:b w:val="0"/>
                <w:color w:val="222222"/>
                <w:sz w:val="19"/>
              </w:rPr>
              <w:t>Missing Evaluation, RMA, Product Item, Product Test, or folder data now stops safely with a clear page message.</w:t>
            </w:r>
          </w:p>
        </w:tc>
      </w:tr>
      <w:tr>
        <w:tc>
          <w:tcPr>
            <w:tcW w:type="dxa" w:w="2500"/>
          </w:tcPr>
          <w:p>
            <w:pPr>
              <w:spacing w:before="0" w:after="0" w:line="252" w:lineRule="auto"/>
            </w:pPr>
            <w:r>
              <w:rPr>
                <w:rFonts w:ascii="Calibri" w:hAnsi="Calibri"/>
                <w:b w:val="0"/>
                <w:color w:val="222222"/>
                <w:sz w:val="19"/>
              </w:rPr>
              <w:t>Folder normalization</w:t>
            </w:r>
          </w:p>
        </w:tc>
        <w:tc>
          <w:tcPr>
            <w:tcW w:type="dxa" w:w="6860"/>
          </w:tcPr>
          <w:p>
            <w:pPr>
              <w:spacing w:before="0" w:after="0" w:line="252" w:lineRule="auto"/>
            </w:pPr>
            <w:r>
              <w:rPr>
                <w:rFonts w:ascii="Calibri" w:hAnsi="Calibri"/>
                <w:b w:val="0"/>
                <w:color w:val="222222"/>
                <w:sz w:val="19"/>
              </w:rPr>
              <w:t>Saved folder values are normalized before use so a full URL or query suffix does not corrupt the folder Id.</w:t>
            </w:r>
          </w:p>
        </w:tc>
      </w:tr>
    </w:tbl>
    <w:p>
      <w:pPr>
        <w:spacing w:after="0"/>
      </w:pPr>
    </w:p>
    <w:p>
      <w:pPr>
        <w:spacing w:before="160" w:after="200" w:line="264" w:lineRule="auto"/>
        <w:ind w:left="173" w:right="72"/>
        <w:shd w:fill="F4F6F9"/>
        <w:pBdr>
          <w:left w:val="single" w:sz="18" w:space="8" w:color="1F6D4A"/>
        </w:pBdr>
      </w:pPr>
      <w:r>
        <w:rPr>
          <w:rFonts w:ascii="Calibri" w:hAnsi="Calibri"/>
          <w:b/>
          <w:color w:val="1F6D4A"/>
          <w:sz w:val="21"/>
        </w:rPr>
        <w:t xml:space="preserve">No-hardcoding confirmation: </w:t>
      </w:r>
      <w:r>
        <w:rPr>
          <w:rFonts w:ascii="Calibri" w:hAnsi="Calibri"/>
          <w:color w:val="222222"/>
          <w:sz w:val="21"/>
        </w:rPr>
        <w:t>No Salesforce record Ids, asset numbers, RMA numbers, user Ids, or fallback business values were added to the implementation. Runtime record context determines the Evaluation to process.</w:t>
      </w:r>
    </w:p>
    <w:p>
      <w:pPr>
        <w:spacing w:after="0"/>
      </w:pPr>
      <w:r>
        <w:br w:type="page"/>
      </w:r>
    </w:p>
    <w:p>
      <w:pPr>
        <w:pStyle w:val="Heading1"/>
      </w:pPr>
      <w:r>
        <w:t>6. Deployment Scope</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800"/>
        <w:gridCol w:w="4300"/>
        <w:gridCol w:w="3260"/>
      </w:tblGrid>
      <w:tr>
        <w:trPr>
          <w:tblHeader w:val="true"/>
        </w:trPr>
        <w:tc>
          <w:tcPr>
            <w:tcW w:type="dxa" w:w="1800"/>
            <w:vAlign w:val="center"/>
            <w:tcMar>
              <w:top w:w="80" w:type="dxa"/>
              <w:start w:w="120" w:type="dxa"/>
              <w:bottom w:w="80" w:type="dxa"/>
              <w:end w:w="120" w:type="dxa"/>
            </w:tcMar>
            <w:shd w:fill="F2F4F7" w:val="clear"/>
          </w:tcPr>
          <w:p>
            <w:pPr>
              <w:spacing w:before="0" w:after="0"/>
            </w:pPr>
            <w:r>
              <w:rPr>
                <w:rFonts w:ascii="Calibri" w:hAnsi="Calibri"/>
                <w:b/>
                <w:color w:val="0B2545"/>
                <w:sz w:val="19"/>
              </w:rPr>
              <w:t>Component type</w:t>
            </w:r>
          </w:p>
        </w:tc>
        <w:tc>
          <w:tcPr>
            <w:tcW w:type="dxa" w:w="4300"/>
            <w:vAlign w:val="center"/>
            <w:tcMar>
              <w:top w:w="80" w:type="dxa"/>
              <w:start w:w="120" w:type="dxa"/>
              <w:bottom w:w="80" w:type="dxa"/>
              <w:end w:w="120" w:type="dxa"/>
            </w:tcMar>
            <w:shd w:fill="F2F4F7" w:val="clear"/>
          </w:tcPr>
          <w:p>
            <w:pPr>
              <w:spacing w:before="0" w:after="0"/>
            </w:pPr>
            <w:r>
              <w:rPr>
                <w:rFonts w:ascii="Calibri" w:hAnsi="Calibri"/>
                <w:b/>
                <w:color w:val="0B2545"/>
                <w:sz w:val="19"/>
              </w:rPr>
              <w:t>API name</w:t>
            </w:r>
          </w:p>
        </w:tc>
        <w:tc>
          <w:tcPr>
            <w:tcW w:type="dxa" w:w="3260"/>
            <w:vAlign w:val="center"/>
            <w:tcMar>
              <w:top w:w="80" w:type="dxa"/>
              <w:start w:w="120" w:type="dxa"/>
              <w:bottom w:w="80" w:type="dxa"/>
              <w:end w:w="120" w:type="dxa"/>
            </w:tcMar>
            <w:shd w:fill="F2F4F7" w:val="clear"/>
          </w:tcPr>
          <w:p>
            <w:pPr>
              <w:spacing w:before="0" w:after="0"/>
            </w:pPr>
            <w:r>
              <w:rPr>
                <w:rFonts w:ascii="Calibri" w:hAnsi="Calibri"/>
                <w:b/>
                <w:color w:val="0B2545"/>
                <w:sz w:val="19"/>
              </w:rPr>
              <w:t>Purpose</w:t>
            </w:r>
          </w:p>
        </w:tc>
      </w:tr>
      <w:tr>
        <w:tc>
          <w:tcPr>
            <w:tcW w:type="dxa" w:w="1800"/>
          </w:tcPr>
          <w:p>
            <w:pPr>
              <w:spacing w:before="0" w:after="0" w:line="252" w:lineRule="auto"/>
            </w:pPr>
            <w:r>
              <w:rPr>
                <w:rFonts w:ascii="Calibri" w:hAnsi="Calibri"/>
                <w:b w:val="0"/>
                <w:color w:val="222222"/>
                <w:sz w:val="19"/>
              </w:rPr>
              <w:t>Apex Class</w:t>
            </w:r>
          </w:p>
        </w:tc>
        <w:tc>
          <w:tcPr>
            <w:tcW w:type="dxa" w:w="4300"/>
          </w:tcPr>
          <w:p>
            <w:pPr>
              <w:spacing w:before="0" w:after="0" w:line="252" w:lineRule="auto"/>
            </w:pPr>
            <w:r>
              <w:rPr>
                <w:rFonts w:ascii="Calibri" w:hAnsi="Calibri"/>
                <w:b w:val="0"/>
                <w:color w:val="222222"/>
                <w:sz w:val="19"/>
              </w:rPr>
              <w:t>cAuthURIForEval</w:t>
            </w:r>
          </w:p>
        </w:tc>
        <w:tc>
          <w:tcPr>
            <w:tcW w:type="dxa" w:w="3260"/>
          </w:tcPr>
          <w:p>
            <w:pPr>
              <w:spacing w:before="0" w:after="0" w:line="252" w:lineRule="auto"/>
            </w:pPr>
            <w:r>
              <w:rPr>
                <w:rFonts w:ascii="Calibri" w:hAnsi="Calibri"/>
                <w:b w:val="0"/>
                <w:color w:val="222222"/>
                <w:sz w:val="19"/>
              </w:rPr>
              <w:t>Retains the originating Evaluation context.</w:t>
            </w:r>
          </w:p>
        </w:tc>
      </w:tr>
      <w:tr>
        <w:tc>
          <w:tcPr>
            <w:tcW w:type="dxa" w:w="1800"/>
          </w:tcPr>
          <w:p>
            <w:pPr>
              <w:spacing w:before="0" w:after="0" w:line="252" w:lineRule="auto"/>
            </w:pPr>
            <w:r>
              <w:rPr>
                <w:rFonts w:ascii="Calibri" w:hAnsi="Calibri"/>
                <w:b w:val="0"/>
                <w:color w:val="222222"/>
                <w:sz w:val="19"/>
              </w:rPr>
              <w:t>Apex Class</w:t>
            </w:r>
          </w:p>
        </w:tc>
        <w:tc>
          <w:tcPr>
            <w:tcW w:type="dxa" w:w="4300"/>
          </w:tcPr>
          <w:p>
            <w:pPr>
              <w:spacing w:before="0" w:after="0" w:line="252" w:lineRule="auto"/>
            </w:pPr>
            <w:r>
              <w:rPr>
                <w:rFonts w:ascii="Calibri" w:hAnsi="Calibri"/>
                <w:b w:val="0"/>
                <w:color w:val="222222"/>
                <w:sz w:val="19"/>
              </w:rPr>
              <w:t>cGoogleAppAuthenticationWithSalesforce</w:t>
            </w:r>
          </w:p>
        </w:tc>
        <w:tc>
          <w:tcPr>
            <w:tcW w:type="dxa" w:w="3260"/>
          </w:tcPr>
          <w:p>
            <w:pPr>
              <w:spacing w:before="0" w:after="0" w:line="252" w:lineRule="auto"/>
            </w:pPr>
            <w:r>
              <w:rPr>
                <w:rFonts w:ascii="Calibri" w:hAnsi="Calibri"/>
                <w:b w:val="0"/>
                <w:color w:val="222222"/>
                <w:sz w:val="19"/>
              </w:rPr>
              <w:t>Restores the exact Evaluation and applies defensive validation.</w:t>
            </w:r>
          </w:p>
        </w:tc>
      </w:tr>
      <w:tr>
        <w:tc>
          <w:tcPr>
            <w:tcW w:type="dxa" w:w="1800"/>
          </w:tcPr>
          <w:p>
            <w:pPr>
              <w:spacing w:before="0" w:after="0" w:line="252" w:lineRule="auto"/>
            </w:pPr>
            <w:r>
              <w:rPr>
                <w:rFonts w:ascii="Calibri" w:hAnsi="Calibri"/>
                <w:b w:val="0"/>
                <w:color w:val="222222"/>
                <w:sz w:val="19"/>
              </w:rPr>
              <w:t>Apex Test</w:t>
            </w:r>
          </w:p>
        </w:tc>
        <w:tc>
          <w:tcPr>
            <w:tcW w:type="dxa" w:w="4300"/>
          </w:tcPr>
          <w:p>
            <w:pPr>
              <w:spacing w:before="0" w:after="0" w:line="252" w:lineRule="auto"/>
            </w:pPr>
            <w:r>
              <w:rPr>
                <w:rFonts w:ascii="Calibri" w:hAnsi="Calibri"/>
                <w:b w:val="0"/>
                <w:color w:val="222222"/>
                <w:sz w:val="19"/>
              </w:rPr>
              <w:t>GoogleAuthTestClass</w:t>
            </w:r>
          </w:p>
        </w:tc>
        <w:tc>
          <w:tcPr>
            <w:tcW w:type="dxa" w:w="3260"/>
          </w:tcPr>
          <w:p>
            <w:pPr>
              <w:spacing w:before="0" w:after="0" w:line="252" w:lineRule="auto"/>
            </w:pPr>
            <w:r>
              <w:rPr>
                <w:rFonts w:ascii="Calibri" w:hAnsi="Calibri"/>
                <w:b w:val="0"/>
                <w:color w:val="222222"/>
                <w:sz w:val="19"/>
              </w:rPr>
              <w:t>Covers correct-record return and missing/invalid context.</w:t>
            </w:r>
          </w:p>
        </w:tc>
      </w:tr>
    </w:tbl>
    <w:p>
      <w:pPr>
        <w:spacing w:after="0"/>
      </w:pPr>
    </w:p>
    <w:p>
      <w:pPr>
        <w:pStyle w:val="Heading1"/>
      </w:pPr>
      <w:r>
        <w:t>7. Validation and Deployment Evidence</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50"/>
        <w:gridCol w:w="3000"/>
        <w:gridCol w:w="3610"/>
      </w:tblGrid>
      <w:tr>
        <w:trPr>
          <w:tblHeader w:val="true"/>
        </w:trPr>
        <w:tc>
          <w:tcPr>
            <w:tcW w:type="dxa" w:w="2750"/>
            <w:vAlign w:val="center"/>
            <w:tcMar>
              <w:top w:w="80" w:type="dxa"/>
              <w:start w:w="120" w:type="dxa"/>
              <w:bottom w:w="80" w:type="dxa"/>
              <w:end w:w="120" w:type="dxa"/>
            </w:tcMar>
            <w:shd w:fill="F2F4F7" w:val="clear"/>
          </w:tcPr>
          <w:p>
            <w:pPr>
              <w:spacing w:before="0" w:after="0"/>
            </w:pPr>
            <w:r>
              <w:rPr>
                <w:rFonts w:ascii="Calibri" w:hAnsi="Calibri"/>
                <w:b/>
                <w:color w:val="0B2545"/>
                <w:sz w:val="19"/>
              </w:rPr>
              <w:t>Gate</w:t>
            </w:r>
          </w:p>
        </w:tc>
        <w:tc>
          <w:tcPr>
            <w:tcW w:type="dxa" w:w="3000"/>
            <w:vAlign w:val="center"/>
            <w:tcMar>
              <w:top w:w="80" w:type="dxa"/>
              <w:start w:w="120" w:type="dxa"/>
              <w:bottom w:w="80" w:type="dxa"/>
              <w:end w:w="120" w:type="dxa"/>
            </w:tcMar>
            <w:shd w:fill="F2F4F7" w:val="clear"/>
          </w:tcPr>
          <w:p>
            <w:pPr>
              <w:spacing w:before="0" w:after="0"/>
            </w:pPr>
            <w:r>
              <w:rPr>
                <w:rFonts w:ascii="Calibri" w:hAnsi="Calibri"/>
                <w:b/>
                <w:color w:val="0B2545"/>
                <w:sz w:val="19"/>
              </w:rPr>
              <w:t>Job / Run</w:t>
            </w:r>
          </w:p>
        </w:tc>
        <w:tc>
          <w:tcPr>
            <w:tcW w:type="dxa" w:w="3610"/>
            <w:vAlign w:val="center"/>
            <w:tcMar>
              <w:top w:w="80" w:type="dxa"/>
              <w:start w:w="120" w:type="dxa"/>
              <w:bottom w:w="80" w:type="dxa"/>
              <w:end w:w="120" w:type="dxa"/>
            </w:tcMar>
            <w:shd w:fill="F2F4F7" w:val="clear"/>
          </w:tcPr>
          <w:p>
            <w:pPr>
              <w:spacing w:before="0" w:after="0"/>
            </w:pPr>
            <w:r>
              <w:rPr>
                <w:rFonts w:ascii="Calibri" w:hAnsi="Calibri"/>
                <w:b/>
                <w:color w:val="0B2545"/>
                <w:sz w:val="19"/>
              </w:rPr>
              <w:t>Result</w:t>
            </w:r>
          </w:p>
        </w:tc>
      </w:tr>
      <w:tr>
        <w:tc>
          <w:tcPr>
            <w:tcW w:type="dxa" w:w="2750"/>
          </w:tcPr>
          <w:p>
            <w:pPr>
              <w:spacing w:before="0" w:after="0" w:line="252" w:lineRule="auto"/>
            </w:pPr>
            <w:r>
              <w:rPr>
                <w:rFonts w:ascii="Calibri" w:hAnsi="Calibri"/>
                <w:b w:val="0"/>
                <w:color w:val="222222"/>
                <w:sz w:val="19"/>
              </w:rPr>
              <w:t>DevDO focused dry run</w:t>
            </w:r>
          </w:p>
        </w:tc>
        <w:tc>
          <w:tcPr>
            <w:tcW w:type="dxa" w:w="3000"/>
          </w:tcPr>
          <w:p>
            <w:pPr>
              <w:spacing w:before="0" w:after="0" w:line="252" w:lineRule="auto"/>
            </w:pPr>
            <w:r>
              <w:rPr>
                <w:rFonts w:ascii="Calibri" w:hAnsi="Calibri"/>
                <w:b w:val="0"/>
                <w:color w:val="222222"/>
                <w:sz w:val="19"/>
              </w:rPr>
              <w:t>0AfiK0000000o85SAA</w:t>
            </w:r>
          </w:p>
        </w:tc>
        <w:tc>
          <w:tcPr>
            <w:tcW w:type="dxa" w:w="3610"/>
          </w:tcPr>
          <w:p>
            <w:pPr>
              <w:spacing w:before="0" w:after="0" w:line="252" w:lineRule="auto"/>
            </w:pPr>
            <w:r>
              <w:rPr>
                <w:rFonts w:ascii="Calibri" w:hAnsi="Calibri"/>
                <w:b/>
                <w:color w:val="1F6D4A"/>
                <w:sz w:val="19"/>
              </w:rPr>
              <w:t>PASSED - 3/3 components; 4/4 tests; 0 errors</w:t>
            </w:r>
          </w:p>
        </w:tc>
      </w:tr>
      <w:tr>
        <w:tc>
          <w:tcPr>
            <w:tcW w:type="dxa" w:w="2750"/>
          </w:tcPr>
          <w:p>
            <w:pPr>
              <w:spacing w:before="0" w:after="0" w:line="252" w:lineRule="auto"/>
            </w:pPr>
            <w:r>
              <w:rPr>
                <w:rFonts w:ascii="Calibri" w:hAnsi="Calibri"/>
                <w:b w:val="0"/>
                <w:color w:val="222222"/>
                <w:sz w:val="19"/>
              </w:rPr>
              <w:t>Production check-only</w:t>
            </w:r>
          </w:p>
        </w:tc>
        <w:tc>
          <w:tcPr>
            <w:tcW w:type="dxa" w:w="3000"/>
          </w:tcPr>
          <w:p>
            <w:pPr>
              <w:spacing w:before="0" w:after="0" w:line="252" w:lineRule="auto"/>
            </w:pPr>
            <w:r>
              <w:rPr>
                <w:rFonts w:ascii="Calibri" w:hAnsi="Calibri"/>
                <w:b w:val="0"/>
                <w:color w:val="222222"/>
                <w:sz w:val="19"/>
              </w:rPr>
              <w:t>0AfjR0000000w41SAA</w:t>
            </w:r>
          </w:p>
        </w:tc>
        <w:tc>
          <w:tcPr>
            <w:tcW w:type="dxa" w:w="3610"/>
          </w:tcPr>
          <w:p>
            <w:pPr>
              <w:spacing w:before="0" w:after="0" w:line="252" w:lineRule="auto"/>
            </w:pPr>
            <w:r>
              <w:rPr>
                <w:rFonts w:ascii="Calibri" w:hAnsi="Calibri"/>
                <w:b/>
                <w:color w:val="1F6D4A"/>
                <w:sz w:val="19"/>
              </w:rPr>
              <w:t>PASSED - 3/3 components; 4/4 tests; 0 errors</w:t>
            </w:r>
          </w:p>
        </w:tc>
      </w:tr>
      <w:tr>
        <w:tc>
          <w:tcPr>
            <w:tcW w:type="dxa" w:w="2750"/>
          </w:tcPr>
          <w:p>
            <w:pPr>
              <w:spacing w:before="0" w:after="0" w:line="252" w:lineRule="auto"/>
            </w:pPr>
            <w:r>
              <w:rPr>
                <w:rFonts w:ascii="Calibri" w:hAnsi="Calibri"/>
                <w:b w:val="0"/>
                <w:color w:val="222222"/>
                <w:sz w:val="19"/>
              </w:rPr>
              <w:t>Production deployment</w:t>
            </w:r>
          </w:p>
        </w:tc>
        <w:tc>
          <w:tcPr>
            <w:tcW w:type="dxa" w:w="3000"/>
          </w:tcPr>
          <w:p>
            <w:pPr>
              <w:spacing w:before="0" w:after="0" w:line="252" w:lineRule="auto"/>
            </w:pPr>
            <w:r>
              <w:rPr>
                <w:rFonts w:ascii="Calibri" w:hAnsi="Calibri"/>
                <w:b w:val="0"/>
                <w:color w:val="222222"/>
                <w:sz w:val="19"/>
              </w:rPr>
              <w:t>0AfjR0000000w5dSAA</w:t>
            </w:r>
          </w:p>
        </w:tc>
        <w:tc>
          <w:tcPr>
            <w:tcW w:type="dxa" w:w="3610"/>
          </w:tcPr>
          <w:p>
            <w:pPr>
              <w:spacing w:before="0" w:after="0" w:line="252" w:lineRule="auto"/>
            </w:pPr>
            <w:r>
              <w:rPr>
                <w:rFonts w:ascii="Calibri" w:hAnsi="Calibri"/>
                <w:b w:val="0"/>
                <w:color w:val="222222"/>
                <w:sz w:val="19"/>
              </w:rPr>
              <w:t>SUCCEEDED - 3/3 components; 0 component errors</w:t>
            </w:r>
          </w:p>
        </w:tc>
      </w:tr>
      <w:tr>
        <w:tc>
          <w:tcPr>
            <w:tcW w:type="dxa" w:w="2750"/>
          </w:tcPr>
          <w:p>
            <w:pPr>
              <w:spacing w:before="0" w:after="0" w:line="252" w:lineRule="auto"/>
            </w:pPr>
            <w:r>
              <w:rPr>
                <w:rFonts w:ascii="Calibri" w:hAnsi="Calibri"/>
                <w:b w:val="0"/>
                <w:color w:val="222222"/>
                <w:sz w:val="19"/>
              </w:rPr>
              <w:t>Post-deployment regression</w:t>
            </w:r>
          </w:p>
        </w:tc>
        <w:tc>
          <w:tcPr>
            <w:tcW w:type="dxa" w:w="3000"/>
          </w:tcPr>
          <w:p>
            <w:pPr>
              <w:spacing w:before="0" w:after="0" w:line="252" w:lineRule="auto"/>
            </w:pPr>
            <w:r>
              <w:rPr>
                <w:rFonts w:ascii="Calibri" w:hAnsi="Calibri"/>
                <w:b w:val="0"/>
                <w:color w:val="222222"/>
                <w:sz w:val="19"/>
              </w:rPr>
              <w:t>05mjR00000009MfQAI</w:t>
            </w:r>
          </w:p>
        </w:tc>
        <w:tc>
          <w:tcPr>
            <w:tcW w:type="dxa" w:w="3610"/>
          </w:tcPr>
          <w:p>
            <w:pPr>
              <w:spacing w:before="0" w:after="0" w:line="252" w:lineRule="auto"/>
            </w:pPr>
            <w:r>
              <w:rPr>
                <w:rFonts w:ascii="Calibri" w:hAnsi="Calibri"/>
                <w:b/>
                <w:color w:val="1F6D4A"/>
                <w:sz w:val="19"/>
              </w:rPr>
              <w:t>PASSED - 4/4 methods; 0 failures</w:t>
            </w:r>
          </w:p>
        </w:tc>
      </w:tr>
      <w:tr>
        <w:tc>
          <w:tcPr>
            <w:tcW w:type="dxa" w:w="2750"/>
          </w:tcPr>
          <w:p>
            <w:pPr>
              <w:spacing w:before="0" w:after="0" w:line="252" w:lineRule="auto"/>
            </w:pPr>
            <w:r>
              <w:rPr>
                <w:rFonts w:ascii="Calibri" w:hAnsi="Calibri"/>
                <w:b w:val="0"/>
                <w:color w:val="222222"/>
                <w:sz w:val="19"/>
              </w:rPr>
              <w:t>Production read-back</w:t>
            </w:r>
          </w:p>
        </w:tc>
        <w:tc>
          <w:tcPr>
            <w:tcW w:type="dxa" w:w="3000"/>
          </w:tcPr>
          <w:p>
            <w:pPr>
              <w:spacing w:before="0" w:after="0" w:line="252" w:lineRule="auto"/>
            </w:pPr>
            <w:r>
              <w:rPr>
                <w:rFonts w:ascii="Calibri" w:hAnsi="Calibri"/>
                <w:b w:val="0"/>
                <w:color w:val="222222"/>
                <w:sz w:val="19"/>
              </w:rPr>
              <w:t>September 3, 2026 18:15:48 UTC</w:t>
            </w:r>
          </w:p>
        </w:tc>
        <w:tc>
          <w:tcPr>
            <w:tcW w:type="dxa" w:w="3610"/>
          </w:tcPr>
          <w:p>
            <w:pPr>
              <w:spacing w:before="0" w:after="0" w:line="252" w:lineRule="auto"/>
            </w:pPr>
            <w:r>
              <w:rPr>
                <w:rFonts w:ascii="Calibri" w:hAnsi="Calibri"/>
                <w:b w:val="0"/>
                <w:color w:val="222222"/>
                <w:sz w:val="19"/>
              </w:rPr>
              <w:t>All three classes updated by David Okolo</w:t>
            </w:r>
          </w:p>
        </w:tc>
      </w:tr>
    </w:tbl>
    <w:p>
      <w:pPr>
        <w:spacing w:after="0"/>
      </w:pPr>
    </w:p>
    <w:p>
      <w:pPr>
        <w:keepLines/>
      </w:pPr>
      <w:r>
        <w:rPr>
          <w:rFonts w:ascii="Calibri" w:hAnsi="Calibri"/>
          <w:b/>
          <w:color w:val="0B2545"/>
        </w:rPr>
        <w:t xml:space="preserve">Focused coverage: </w:t>
      </w:r>
      <w:r>
        <w:rPr>
          <w:rFonts w:ascii="Calibri" w:hAnsi="Calibri"/>
          <w:color w:val="222222"/>
        </w:rPr>
        <w:t>The validated package recorded 301 of 397 executable lines covered for the controller (75.8%) and 15 of 17 executable lines covered for the authentication URI helper (88.2%).</w:t>
      </w:r>
    </w:p>
    <w:p>
      <w:pPr>
        <w:keepLines/>
      </w:pPr>
      <w:r>
        <w:rPr>
          <w:rFonts w:ascii="Calibri" w:hAnsi="Calibri"/>
          <w:b/>
          <w:color w:val="0B2545"/>
        </w:rPr>
        <w:t xml:space="preserve">Test method evidence: </w:t>
      </w:r>
      <w:r>
        <w:rPr>
          <w:rFonts w:ascii="Calibri" w:hAnsi="Calibri"/>
          <w:color w:val="222222"/>
        </w:rPr>
        <w:t>case00010716RejectsMissingOrInvalidCallbackState, mytest, mytest2, and mytest3 all passed in the post-deployment Production run.</w:t>
      </w:r>
    </w:p>
    <w:p>
      <w:pPr>
        <w:spacing w:before="160" w:after="200" w:line="264" w:lineRule="auto"/>
        <w:ind w:left="173" w:right="72"/>
        <w:shd w:fill="F4F6F9"/>
        <w:pBdr>
          <w:left w:val="single" w:sz="18" w:space="8" w:color="2E74B5"/>
        </w:pBdr>
      </w:pPr>
      <w:r>
        <w:rPr>
          <w:rFonts w:ascii="Calibri" w:hAnsi="Calibri"/>
          <w:b/>
          <w:color w:val="2E74B5"/>
          <w:sz w:val="21"/>
        </w:rPr>
        <w:t xml:space="preserve">Execution boundary: </w:t>
      </w:r>
      <w:r>
        <w:rPr>
          <w:rFonts w:ascii="Calibri" w:hAnsi="Calibri"/>
          <w:color w:val="222222"/>
          <w:sz w:val="21"/>
        </w:rPr>
        <w:t>Validation and deployment were completed through Salesforce metadata and automated Apex tests. No browser sign-in, consent screen, external Drive access, or manual authentication session was performed as part of this release.</w:t>
      </w:r>
    </w:p>
    <w:p>
      <w:pPr>
        <w:pStyle w:val="Heading1"/>
      </w:pPr>
      <w:r>
        <w:t>8. Acceptance Criteria</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4300"/>
        <w:gridCol w:w="3300"/>
        <w:gridCol w:w="1760"/>
      </w:tblGrid>
      <w:tr>
        <w:trPr>
          <w:tblHeader w:val="true"/>
        </w:trPr>
        <w:tc>
          <w:tcPr>
            <w:tcW w:type="dxa" w:w="4300"/>
            <w:vAlign w:val="center"/>
            <w:tcMar>
              <w:top w:w="80" w:type="dxa"/>
              <w:start w:w="120" w:type="dxa"/>
              <w:bottom w:w="80" w:type="dxa"/>
              <w:end w:w="120" w:type="dxa"/>
            </w:tcMar>
            <w:shd w:fill="F2F4F7" w:val="clear"/>
          </w:tcPr>
          <w:p>
            <w:pPr>
              <w:spacing w:before="0" w:after="0"/>
            </w:pPr>
            <w:r>
              <w:rPr>
                <w:rFonts w:ascii="Calibri" w:hAnsi="Calibri"/>
                <w:b/>
                <w:color w:val="0B2545"/>
                <w:sz w:val="19"/>
              </w:rPr>
              <w:t>Acceptance criterion</w:t>
            </w:r>
          </w:p>
        </w:tc>
        <w:tc>
          <w:tcPr>
            <w:tcW w:type="dxa" w:w="3300"/>
            <w:vAlign w:val="center"/>
            <w:tcMar>
              <w:top w:w="80" w:type="dxa"/>
              <w:start w:w="120" w:type="dxa"/>
              <w:bottom w:w="80" w:type="dxa"/>
              <w:end w:w="120" w:type="dxa"/>
            </w:tcMar>
            <w:shd w:fill="F2F4F7" w:val="clear"/>
          </w:tcPr>
          <w:p>
            <w:pPr>
              <w:spacing w:before="0" w:after="0"/>
            </w:pPr>
            <w:r>
              <w:rPr>
                <w:rFonts w:ascii="Calibri" w:hAnsi="Calibri"/>
                <w:b/>
                <w:color w:val="0B2545"/>
                <w:sz w:val="19"/>
              </w:rPr>
              <w:t>Evidence</w:t>
            </w:r>
          </w:p>
        </w:tc>
        <w:tc>
          <w:tcPr>
            <w:tcW w:type="dxa" w:w="1760"/>
            <w:vAlign w:val="center"/>
            <w:tcMar>
              <w:top w:w="80" w:type="dxa"/>
              <w:start w:w="120" w:type="dxa"/>
              <w:bottom w:w="80" w:type="dxa"/>
              <w:end w:w="120" w:type="dxa"/>
            </w:tcMar>
            <w:shd w:fill="F2F4F7" w:val="clear"/>
          </w:tcPr>
          <w:p>
            <w:pPr>
              <w:spacing w:before="0" w:after="0"/>
            </w:pPr>
            <w:r>
              <w:rPr>
                <w:rFonts w:ascii="Calibri" w:hAnsi="Calibri"/>
                <w:b/>
                <w:color w:val="0B2545"/>
                <w:sz w:val="19"/>
              </w:rPr>
              <w:t>Status</w:t>
            </w:r>
          </w:p>
        </w:tc>
      </w:tr>
      <w:tr>
        <w:tc>
          <w:tcPr>
            <w:tcW w:type="dxa" w:w="4300"/>
          </w:tcPr>
          <w:p>
            <w:pPr>
              <w:spacing w:before="0" w:after="0" w:line="252" w:lineRule="auto"/>
            </w:pPr>
            <w:r>
              <w:rPr>
                <w:rFonts w:ascii="Calibri" w:hAnsi="Calibri"/>
                <w:b w:val="0"/>
                <w:color w:val="222222"/>
                <w:sz w:val="19"/>
              </w:rPr>
              <w:t>The originating Evaluation is retained across the authentication return.</w:t>
            </w:r>
          </w:p>
        </w:tc>
        <w:tc>
          <w:tcPr>
            <w:tcW w:type="dxa" w:w="3300"/>
          </w:tcPr>
          <w:p>
            <w:pPr>
              <w:spacing w:before="0" w:after="0" w:line="252" w:lineRule="auto"/>
            </w:pPr>
            <w:r>
              <w:rPr>
                <w:rFonts w:ascii="Calibri" w:hAnsi="Calibri"/>
                <w:b w:val="0"/>
                <w:color w:val="222222"/>
                <w:sz w:val="19"/>
              </w:rPr>
              <w:t>Focused Apex regression</w:t>
            </w:r>
          </w:p>
        </w:tc>
        <w:tc>
          <w:tcPr>
            <w:tcW w:type="dxa" w:w="1760"/>
          </w:tcPr>
          <w:p>
            <w:pPr>
              <w:spacing w:before="0" w:after="0" w:line="252" w:lineRule="auto"/>
            </w:pPr>
            <w:r>
              <w:rPr>
                <w:rFonts w:ascii="Calibri" w:hAnsi="Calibri"/>
                <w:b/>
                <w:color w:val="1F6D4A"/>
                <w:sz w:val="19"/>
              </w:rPr>
              <w:t>PASS</w:t>
            </w:r>
          </w:p>
        </w:tc>
      </w:tr>
      <w:tr>
        <w:tc>
          <w:tcPr>
            <w:tcW w:type="dxa" w:w="4300"/>
          </w:tcPr>
          <w:p>
            <w:pPr>
              <w:spacing w:before="0" w:after="0" w:line="252" w:lineRule="auto"/>
            </w:pPr>
            <w:r>
              <w:rPr>
                <w:rFonts w:ascii="Calibri" w:hAnsi="Calibri"/>
                <w:b w:val="0"/>
                <w:color w:val="222222"/>
                <w:sz w:val="19"/>
              </w:rPr>
              <w:t>A competing Evaluation is not selected or updated.</w:t>
            </w:r>
          </w:p>
        </w:tc>
        <w:tc>
          <w:tcPr>
            <w:tcW w:type="dxa" w:w="3300"/>
          </w:tcPr>
          <w:p>
            <w:pPr>
              <w:spacing w:before="0" w:after="0" w:line="252" w:lineRule="auto"/>
            </w:pPr>
            <w:r>
              <w:rPr>
                <w:rFonts w:ascii="Calibri" w:hAnsi="Calibri"/>
                <w:b w:val="0"/>
                <w:color w:val="222222"/>
                <w:sz w:val="19"/>
              </w:rPr>
              <w:t>Correct-record regression assertion</w:t>
            </w:r>
          </w:p>
        </w:tc>
        <w:tc>
          <w:tcPr>
            <w:tcW w:type="dxa" w:w="1760"/>
          </w:tcPr>
          <w:p>
            <w:pPr>
              <w:spacing w:before="0" w:after="0" w:line="252" w:lineRule="auto"/>
            </w:pPr>
            <w:r>
              <w:rPr>
                <w:rFonts w:ascii="Calibri" w:hAnsi="Calibri"/>
                <w:b/>
                <w:color w:val="1F6D4A"/>
                <w:sz w:val="19"/>
              </w:rPr>
              <w:t>PASS</w:t>
            </w:r>
          </w:p>
        </w:tc>
      </w:tr>
      <w:tr>
        <w:tc>
          <w:tcPr>
            <w:tcW w:type="dxa" w:w="4300"/>
          </w:tcPr>
          <w:p>
            <w:pPr>
              <w:spacing w:before="0" w:after="0" w:line="252" w:lineRule="auto"/>
            </w:pPr>
            <w:r>
              <w:rPr>
                <w:rFonts w:ascii="Calibri" w:hAnsi="Calibri"/>
                <w:b w:val="0"/>
                <w:color w:val="222222"/>
                <w:sz w:val="19"/>
              </w:rPr>
              <w:t>Missing or invalid Evaluation context fails safely.</w:t>
            </w:r>
          </w:p>
        </w:tc>
        <w:tc>
          <w:tcPr>
            <w:tcW w:type="dxa" w:w="3300"/>
          </w:tcPr>
          <w:p>
            <w:pPr>
              <w:spacing w:before="0" w:after="0" w:line="252" w:lineRule="auto"/>
            </w:pPr>
            <w:r>
              <w:rPr>
                <w:rFonts w:ascii="Calibri" w:hAnsi="Calibri"/>
                <w:b w:val="0"/>
                <w:color w:val="222222"/>
                <w:sz w:val="19"/>
              </w:rPr>
              <w:t>Case-specific negative-path test</w:t>
            </w:r>
          </w:p>
        </w:tc>
        <w:tc>
          <w:tcPr>
            <w:tcW w:type="dxa" w:w="1760"/>
          </w:tcPr>
          <w:p>
            <w:pPr>
              <w:spacing w:before="0" w:after="0" w:line="252" w:lineRule="auto"/>
            </w:pPr>
            <w:r>
              <w:rPr>
                <w:rFonts w:ascii="Calibri" w:hAnsi="Calibri"/>
                <w:b/>
                <w:color w:val="1F6D4A"/>
                <w:sz w:val="19"/>
              </w:rPr>
              <w:t>PASS</w:t>
            </w:r>
          </w:p>
        </w:tc>
      </w:tr>
      <w:tr>
        <w:tc>
          <w:tcPr>
            <w:tcW w:type="dxa" w:w="4300"/>
          </w:tcPr>
          <w:p>
            <w:pPr>
              <w:spacing w:before="0" w:after="0" w:line="252" w:lineRule="auto"/>
            </w:pPr>
            <w:r>
              <w:rPr>
                <w:rFonts w:ascii="Calibri" w:hAnsi="Calibri"/>
                <w:b w:val="0"/>
                <w:color w:val="222222"/>
                <w:sz w:val="19"/>
              </w:rPr>
              <w:t>No Salesforce record Ids or business values are hard-coded.</w:t>
            </w:r>
          </w:p>
        </w:tc>
        <w:tc>
          <w:tcPr>
            <w:tcW w:type="dxa" w:w="3300"/>
          </w:tcPr>
          <w:p>
            <w:pPr>
              <w:spacing w:before="0" w:after="0" w:line="252" w:lineRule="auto"/>
            </w:pPr>
            <w:r>
              <w:rPr>
                <w:rFonts w:ascii="Calibri" w:hAnsi="Calibri"/>
                <w:b w:val="0"/>
                <w:color w:val="222222"/>
                <w:sz w:val="19"/>
              </w:rPr>
              <w:t>Source review</w:t>
            </w:r>
          </w:p>
        </w:tc>
        <w:tc>
          <w:tcPr>
            <w:tcW w:type="dxa" w:w="1760"/>
          </w:tcPr>
          <w:p>
            <w:pPr>
              <w:spacing w:before="0" w:after="0" w:line="252" w:lineRule="auto"/>
            </w:pPr>
            <w:r>
              <w:rPr>
                <w:rFonts w:ascii="Calibri" w:hAnsi="Calibri"/>
                <w:b/>
                <w:color w:val="1F6D4A"/>
                <w:sz w:val="19"/>
              </w:rPr>
              <w:t>PASS</w:t>
            </w:r>
          </w:p>
        </w:tc>
      </w:tr>
      <w:tr>
        <w:tc>
          <w:tcPr>
            <w:tcW w:type="dxa" w:w="4300"/>
          </w:tcPr>
          <w:p>
            <w:pPr>
              <w:spacing w:before="0" w:after="0" w:line="252" w:lineRule="auto"/>
            </w:pPr>
            <w:r>
              <w:rPr>
                <w:rFonts w:ascii="Calibri" w:hAnsi="Calibri"/>
                <w:b w:val="0"/>
                <w:color w:val="222222"/>
                <w:sz w:val="19"/>
              </w:rPr>
              <w:t>The package validates and deploys cleanly in Production.</w:t>
            </w:r>
          </w:p>
        </w:tc>
        <w:tc>
          <w:tcPr>
            <w:tcW w:type="dxa" w:w="3300"/>
          </w:tcPr>
          <w:p>
            <w:pPr>
              <w:spacing w:before="0" w:after="0" w:line="252" w:lineRule="auto"/>
            </w:pPr>
            <w:r>
              <w:rPr>
                <w:rFonts w:ascii="Calibri" w:hAnsi="Calibri"/>
                <w:b w:val="0"/>
                <w:color w:val="222222"/>
                <w:sz w:val="19"/>
              </w:rPr>
              <w:t>Check-only and deployment jobs</w:t>
            </w:r>
          </w:p>
        </w:tc>
        <w:tc>
          <w:tcPr>
            <w:tcW w:type="dxa" w:w="1760"/>
          </w:tcPr>
          <w:p>
            <w:pPr>
              <w:spacing w:before="0" w:after="0" w:line="252" w:lineRule="auto"/>
            </w:pPr>
            <w:r>
              <w:rPr>
                <w:rFonts w:ascii="Calibri" w:hAnsi="Calibri"/>
                <w:b/>
                <w:color w:val="1F6D4A"/>
                <w:sz w:val="19"/>
              </w:rPr>
              <w:t>PASS</w:t>
            </w:r>
          </w:p>
        </w:tc>
      </w:tr>
      <w:tr>
        <w:tc>
          <w:tcPr>
            <w:tcW w:type="dxa" w:w="4300"/>
          </w:tcPr>
          <w:p>
            <w:pPr>
              <w:spacing w:before="0" w:after="0" w:line="252" w:lineRule="auto"/>
            </w:pPr>
            <w:r>
              <w:rPr>
                <w:rFonts w:ascii="Calibri" w:hAnsi="Calibri"/>
                <w:b w:val="0"/>
                <w:color w:val="222222"/>
                <w:sz w:val="19"/>
              </w:rPr>
              <w:t>Business user confirms the normal Evaluation workflow.</w:t>
            </w:r>
          </w:p>
        </w:tc>
        <w:tc>
          <w:tcPr>
            <w:tcW w:type="dxa" w:w="3300"/>
          </w:tcPr>
          <w:p>
            <w:pPr>
              <w:spacing w:before="0" w:after="0" w:line="252" w:lineRule="auto"/>
            </w:pPr>
            <w:r>
              <w:rPr>
                <w:rFonts w:ascii="Calibri" w:hAnsi="Calibri"/>
                <w:b w:val="0"/>
                <w:color w:val="222222"/>
                <w:sz w:val="19"/>
              </w:rPr>
              <w:t>Optional operational confirmation</w:t>
            </w:r>
          </w:p>
        </w:tc>
        <w:tc>
          <w:tcPr>
            <w:tcW w:type="dxa" w:w="1760"/>
          </w:tcPr>
          <w:p>
            <w:pPr>
              <w:spacing w:before="0" w:after="0" w:line="252" w:lineRule="auto"/>
            </w:pPr>
            <w:r>
              <w:rPr>
                <w:rFonts w:ascii="Calibri" w:hAnsi="Calibri"/>
                <w:b w:val="0"/>
                <w:color w:val="222222"/>
                <w:sz w:val="19"/>
              </w:rPr>
              <w:t>RECOMMENDED</w:t>
            </w:r>
          </w:p>
        </w:tc>
      </w:tr>
    </w:tbl>
    <w:p>
      <w:pPr>
        <w:spacing w:after="0"/>
      </w:pPr>
    </w:p>
    <w:p>
      <w:pPr>
        <w:spacing w:after="0"/>
      </w:pPr>
      <w:r>
        <w:br w:type="page"/>
      </w:r>
    </w:p>
    <w:p>
      <w:pPr>
        <w:pStyle w:val="Heading1"/>
      </w:pPr>
      <w:r>
        <w:t>9. Rollback and Support Notes</w:t>
      </w:r>
    </w:p>
    <w:p>
      <w:pPr>
        <w:keepLines/>
      </w:pPr>
      <w:r>
        <w:rPr>
          <w:rFonts w:ascii="Calibri" w:hAnsi="Calibri"/>
          <w:b/>
          <w:color w:val="0B2545"/>
        </w:rPr>
        <w:t xml:space="preserve">Rollback scope: </w:t>
      </w:r>
      <w:r>
        <w:rPr>
          <w:rFonts w:ascii="Calibri" w:hAnsi="Calibri"/>
          <w:color w:val="222222"/>
        </w:rPr>
        <w:t>If an unexpected regression is confirmed, redeploy the previously retained Production versions of the two controller classes and their test class through the approved release process. Do not change Production data as part of code rollback.</w:t>
      </w:r>
    </w:p>
    <w:p>
      <w:pPr>
        <w:keepLines/>
      </w:pPr>
      <w:r>
        <w:rPr>
          <w:rFonts w:ascii="Calibri" w:hAnsi="Calibri"/>
          <w:b/>
          <w:color w:val="0B2545"/>
        </w:rPr>
        <w:t xml:space="preserve">Support monitoring: </w:t>
      </w:r>
      <w:r>
        <w:rPr>
          <w:rFonts w:ascii="Calibri" w:hAnsi="Calibri"/>
          <w:color w:val="222222"/>
        </w:rPr>
        <w:t>If a user reports another authentication error, capture the Evaluation name, RMA, asset number, timestamp, and user. Enable a short, time-bounded debug trace for the Approval Form Site Guest User only when troubleshooting evidence is required, then disable it after capture.</w:t>
      </w:r>
    </w:p>
    <w:p>
      <w:pPr>
        <w:keepLines/>
      </w:pPr>
      <w:r>
        <w:rPr>
          <w:rFonts w:ascii="Calibri" w:hAnsi="Calibri"/>
          <w:b/>
          <w:color w:val="0B2545"/>
        </w:rPr>
        <w:t xml:space="preserve">Case closure: </w:t>
      </w:r>
      <w:r>
        <w:rPr>
          <w:rFonts w:ascii="Calibri" w:hAnsi="Calibri"/>
          <w:color w:val="222222"/>
        </w:rPr>
        <w:t>The implementation and automated verification are complete. The support owner may close case 00010716 after the business confirms there is no remaining operational issue for asset 554470.</w:t>
      </w:r>
    </w:p>
    <w:p>
      <w:pPr>
        <w:spacing w:before="160" w:after="200" w:line="264" w:lineRule="auto"/>
        <w:ind w:left="173" w:right="72"/>
        <w:shd w:fill="F4F6F9"/>
        <w:pBdr>
          <w:left w:val="single" w:sz="18" w:space="8" w:color="1F6D4A"/>
        </w:pBdr>
      </w:pPr>
      <w:r>
        <w:rPr>
          <w:rFonts w:ascii="Calibri" w:hAnsi="Calibri"/>
          <w:b/>
          <w:color w:val="1F6D4A"/>
          <w:sz w:val="21"/>
        </w:rPr>
        <w:t xml:space="preserve">Final determination: </w:t>
      </w:r>
      <w:r>
        <w:rPr>
          <w:rFonts w:ascii="Calibri" w:hAnsi="Calibri"/>
          <w:color w:val="222222"/>
          <w:sz w:val="21"/>
        </w:rPr>
        <w:t>DEPLOYED AND VERIFIED. No additional development is currently required. Retain this document with the case and deployment evidence.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B728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 w:pos="9360" w:val="left"/>
      </w:tabs>
      <w:spacing w:after="0"/>
      <w:jc w:val="left"/>
    </w:pPr>
    <w:r>
      <w:rPr>
        <w:rFonts w:ascii="Calibri" w:hAnsi="Calibri"/>
        <w:b/>
        <w:color w:val="6B7280"/>
        <w:sz w:val="17"/>
      </w:rPr>
      <w:t>PROBO MEDICAL | SALESFORCE</w:t>
    </w:r>
    <w:r>
      <w:rPr>
        <w:rFonts w:ascii="Calibri" w:hAnsi="Calibri"/>
        <w:b/>
        <w:color w:val="6B7280"/>
        <w:sz w:val="17"/>
      </w:rPr>
      <w:tab/>
      <w:t>CASE 00010716 | PRODUCTION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00010716 Asset 554470 Evaluation Authentication Standard AutoFast</dc:title>
  <dc:subject>Production implementation and verification record</dc:subject>
  <dc:creator>Probo Medical Salesforce Team</dc:creator>
  <cp:keywords>Salesforce, AutoFast, Evaluation, Authentication, 00010716, 554470</cp:keywords>
  <dc:description>generated by python-docx</dc:description>
  <cp:lastModifiedBy/>
  <cp:revision>1</cp:revision>
  <dcterms:created xsi:type="dcterms:W3CDTF">2013-12-23T23:15:00Z</dcterms:created>
  <dcterms:modified xsi:type="dcterms:W3CDTF">2013-12-23T23:15:00Z</dcterms:modified>
  <cp:category/>
</cp:coreProperties>
</file>