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AUTOFAST UAT REPRODUCTION &amp; CHANGE GUIDE</w:t>
      </w:r>
    </w:p>
    <w:p>
      <w:pPr>
        <w:pStyle w:val="Subtitle"/>
        <w:jc w:val="left"/>
      </w:pPr>
      <w:r>
        <w:t>Evaluation Google Drive Photo Import Must Return to the Intended Evaluation</w:t>
      </w:r>
    </w:p>
    <w:p>
      <w:pPr>
        <w:spacing w:before="0" w:after="40" w:line="240" w:lineRule="auto"/>
      </w:pPr>
      <w:r>
        <w:rPr>
          <w:rFonts w:ascii="Calibri" w:hAnsi="Calibri"/>
          <w:b/>
          <w:color w:val="0B2545"/>
          <w:sz w:val="21"/>
        </w:rPr>
        <w:t xml:space="preserve">Case: </w:t>
      </w:r>
      <w:r>
        <w:rPr>
          <w:rFonts w:ascii="Calibri" w:hAnsi="Calibri"/>
          <w:color w:val="222222"/>
          <w:sz w:val="21"/>
        </w:rPr>
        <w:t>00010716</w:t>
      </w:r>
    </w:p>
    <w:p>
      <w:pPr>
        <w:spacing w:before="0" w:after="40" w:line="240" w:lineRule="auto"/>
      </w:pPr>
      <w:r>
        <w:rPr>
          <w:rFonts w:ascii="Calibri" w:hAnsi="Calibri"/>
          <w:b/>
          <w:color w:val="0B2545"/>
          <w:sz w:val="21"/>
        </w:rPr>
        <w:t xml:space="preserve">Prepared: </w:t>
      </w:r>
      <w:r>
        <w:rPr>
          <w:rFonts w:ascii="Calibri" w:hAnsi="Calibri"/>
          <w:color w:val="222222"/>
          <w:sz w:val="21"/>
        </w:rPr>
        <w:t>September 4, 2026</w:t>
      </w:r>
    </w:p>
    <w:p>
      <w:pPr>
        <w:spacing w:before="0" w:after="40" w:line="240" w:lineRule="auto"/>
      </w:pPr>
      <w:r>
        <w:rPr>
          <w:rFonts w:ascii="Calibri" w:hAnsi="Calibri"/>
          <w:b/>
          <w:color w:val="0B2545"/>
          <w:sz w:val="21"/>
        </w:rPr>
        <w:t xml:space="preserve">Environment: </w:t>
      </w:r>
      <w:r>
        <w:rPr>
          <w:rFonts w:ascii="Calibri" w:hAnsi="Calibri"/>
          <w:color w:val="222222"/>
          <w:sz w:val="21"/>
        </w:rPr>
        <w:t>Probo Medical UAT sandbox</w:t>
      </w:r>
    </w:p>
    <w:p>
      <w:pPr>
        <w:spacing w:before="0" w:after="40" w:line="240" w:lineRule="auto"/>
      </w:pPr>
      <w:r>
        <w:rPr>
          <w:rFonts w:ascii="Calibri" w:hAnsi="Calibri"/>
          <w:b/>
          <w:color w:val="0B2545"/>
          <w:sz w:val="21"/>
        </w:rPr>
        <w:t xml:space="preserve">Audience: </w:t>
      </w:r>
      <w:r>
        <w:rPr>
          <w:rFonts w:ascii="Calibri" w:hAnsi="Calibri"/>
          <w:color w:val="222222"/>
          <w:sz w:val="21"/>
        </w:rPr>
        <w:t>Salesforce, Repair Operations, QA, and UAT testers</w:t>
      </w:r>
    </w:p>
    <w:p>
      <w:pPr>
        <w:spacing w:before="0" w:after="40" w:line="240" w:lineRule="auto"/>
      </w:pPr>
      <w:r>
        <w:rPr>
          <w:rFonts w:ascii="Calibri" w:hAnsi="Calibri"/>
          <w:b/>
          <w:color w:val="0B2545"/>
          <w:sz w:val="21"/>
        </w:rPr>
        <w:t xml:space="preserve">Status: </w:t>
      </w:r>
      <w:r>
        <w:rPr>
          <w:rFonts w:ascii="Calibri" w:hAnsi="Calibri"/>
          <w:color w:val="222222"/>
          <w:sz w:val="21"/>
        </w:rPr>
        <w:t>READY FOR MANUAL UAT | DEDICATED GOOGLE DRIVE FOLDER REQUIRED</w:t>
      </w:r>
    </w:p>
    <w:p>
      <w:pPr>
        <w:spacing w:before="160" w:after="200" w:line="264" w:lineRule="auto"/>
        <w:ind w:left="173" w:right="72"/>
        <w:shd w:fill="F4F6F9"/>
        <w:pBdr>
          <w:left w:val="single" w:sz="18" w:space="8" w:color="1F6D4A"/>
        </w:pBdr>
      </w:pPr>
      <w:r>
        <w:rPr>
          <w:rFonts w:ascii="Calibri" w:hAnsi="Calibri"/>
          <w:b/>
          <w:color w:val="1F6D4A"/>
          <w:sz w:val="21"/>
        </w:rPr>
        <w:t xml:space="preserve">Current position: </w:t>
      </w:r>
      <w:r>
        <w:rPr>
          <w:rFonts w:ascii="Calibri" w:hAnsi="Calibri"/>
          <w:color w:val="222222"/>
          <w:sz w:val="21"/>
        </w:rPr>
        <w:t>The focused code correction and dedicated UAT records are ready. Automated regression testing passed. The remaining activity is a manual Google Drive photo-import test using a dedicated UAT folder link; no deployment action is required for this test.</w:t>
      </w:r>
    </w:p>
    <w:p>
      <w:pPr>
        <w:pStyle w:val="Heading1"/>
      </w:pPr>
      <w:r>
        <w:t>1. Purpose and Environment Boundary</w:t>
      </w:r>
    </w:p>
    <w:p>
      <w:pPr>
        <w:keepLines/>
      </w:pPr>
      <w:r>
        <w:rPr>
          <w:rFonts w:ascii="Calibri" w:hAnsi="Calibri"/>
          <w:b/>
          <w:color w:val="0B2545"/>
        </w:rPr>
        <w:t xml:space="preserve">Purpose: </w:t>
      </w:r>
      <w:r>
        <w:rPr>
          <w:rFonts w:ascii="Calibri" w:hAnsi="Calibri"/>
          <w:color w:val="222222"/>
        </w:rPr>
        <w:t>Give the team one repeatable procedure to understand the original regression, confirm what changed, run the live UAT photo-import test, and record evidence that only the intended Evaluation was updated.</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tblHeader w:val="true"/>
        </w:trPr>
        <w:tc>
          <w:tcPr>
            <w:tcW w:type="dxa" w:w="2700"/>
            <w:vAlign w:val="center"/>
            <w:tcMar>
              <w:top w:w="80" w:type="dxa"/>
              <w:start w:w="120" w:type="dxa"/>
              <w:bottom w:w="80" w:type="dxa"/>
              <w:end w:w="120" w:type="dxa"/>
            </w:tcMar>
            <w:shd w:fill="F2F4F7" w:val="clear"/>
          </w:tcPr>
          <w:p>
            <w:pPr>
              <w:spacing w:before="0" w:after="0"/>
            </w:pPr>
            <w:r>
              <w:rPr>
                <w:rFonts w:ascii="Calibri" w:hAnsi="Calibri"/>
                <w:b/>
                <w:color w:val="0B2545"/>
                <w:sz w:val="19"/>
              </w:rPr>
              <w:t>Item</w:t>
            </w:r>
          </w:p>
        </w:tc>
        <w:tc>
          <w:tcPr>
            <w:tcW w:type="dxa" w:w="6660"/>
            <w:vAlign w:val="center"/>
            <w:tcMar>
              <w:top w:w="80" w:type="dxa"/>
              <w:start w:w="120" w:type="dxa"/>
              <w:bottom w:w="80" w:type="dxa"/>
              <w:end w:w="120" w:type="dxa"/>
            </w:tcMar>
            <w:shd w:fill="F2F4F7" w:val="clear"/>
          </w:tcPr>
          <w:p>
            <w:pPr>
              <w:spacing w:before="0" w:after="0"/>
            </w:pPr>
            <w:r>
              <w:rPr>
                <w:rFonts w:ascii="Calibri" w:hAnsi="Calibri"/>
                <w:b/>
                <w:color w:val="0B2545"/>
                <w:sz w:val="19"/>
              </w:rPr>
              <w:t>Confirmed value</w:t>
            </w:r>
          </w:p>
        </w:tc>
      </w:tr>
      <w:tr>
        <w:tc>
          <w:tcPr>
            <w:tcW w:type="dxa" w:w="2700"/>
          </w:tcPr>
          <w:p>
            <w:pPr>
              <w:spacing w:before="0" w:after="0" w:line="252" w:lineRule="auto"/>
            </w:pPr>
            <w:r>
              <w:rPr>
                <w:rFonts w:ascii="Calibri" w:hAnsi="Calibri"/>
                <w:b w:val="0"/>
                <w:color w:val="222222"/>
                <w:sz w:val="19"/>
              </w:rPr>
              <w:t>Organization</w:t>
            </w:r>
          </w:p>
        </w:tc>
        <w:tc>
          <w:tcPr>
            <w:tcW w:type="dxa" w:w="6660"/>
          </w:tcPr>
          <w:p>
            <w:pPr>
              <w:spacing w:before="0" w:after="0" w:line="252" w:lineRule="auto"/>
            </w:pPr>
            <w:r>
              <w:rPr>
                <w:rFonts w:ascii="Calibri" w:hAnsi="Calibri"/>
                <w:b w:val="0"/>
                <w:color w:val="222222"/>
                <w:sz w:val="19"/>
              </w:rPr>
              <w:t>Probo Medical</w:t>
            </w:r>
          </w:p>
        </w:tc>
      </w:tr>
      <w:tr>
        <w:tc>
          <w:tcPr>
            <w:tcW w:type="dxa" w:w="2700"/>
            <w:shd w:fill="F8FAFC" w:val="clear"/>
          </w:tcPr>
          <w:p>
            <w:pPr>
              <w:spacing w:before="0" w:after="0" w:line="252" w:lineRule="auto"/>
            </w:pPr>
            <w:r>
              <w:rPr>
                <w:rFonts w:ascii="Calibri" w:hAnsi="Calibri"/>
                <w:b w:val="0"/>
                <w:color w:val="222222"/>
                <w:sz w:val="19"/>
              </w:rPr>
              <w:t>Environment</w:t>
            </w:r>
          </w:p>
        </w:tc>
        <w:tc>
          <w:tcPr>
            <w:tcW w:type="dxa" w:w="6660"/>
            <w:shd w:fill="F8FAFC" w:val="clear"/>
          </w:tcPr>
          <w:p>
            <w:pPr>
              <w:spacing w:before="0" w:after="0" w:line="252" w:lineRule="auto"/>
            </w:pPr>
            <w:r>
              <w:rPr>
                <w:rFonts w:ascii="Calibri" w:hAnsi="Calibri"/>
                <w:b w:val="0"/>
                <w:color w:val="222222"/>
                <w:sz w:val="19"/>
              </w:rPr>
              <w:t>UAT sandbox</w:t>
            </w:r>
          </w:p>
        </w:tc>
      </w:tr>
      <w:tr>
        <w:tc>
          <w:tcPr>
            <w:tcW w:type="dxa" w:w="2700"/>
          </w:tcPr>
          <w:p>
            <w:pPr>
              <w:spacing w:before="0" w:after="0" w:line="252" w:lineRule="auto"/>
            </w:pPr>
            <w:r>
              <w:rPr>
                <w:rFonts w:ascii="Calibri" w:hAnsi="Calibri"/>
                <w:b w:val="0"/>
                <w:color w:val="222222"/>
                <w:sz w:val="19"/>
              </w:rPr>
              <w:t>Organization ID</w:t>
            </w:r>
          </w:p>
        </w:tc>
        <w:tc>
          <w:tcPr>
            <w:tcW w:type="dxa" w:w="6660"/>
          </w:tcPr>
          <w:p>
            <w:pPr>
              <w:spacing w:before="0" w:after="0" w:line="252" w:lineRule="auto"/>
            </w:pPr>
            <w:r>
              <w:rPr>
                <w:rFonts w:ascii="Calibri" w:hAnsi="Calibri"/>
                <w:b w:val="0"/>
                <w:color w:val="222222"/>
                <w:sz w:val="19"/>
              </w:rPr>
              <w:t>00DjH0000000rYzUAI</w:t>
            </w:r>
          </w:p>
        </w:tc>
      </w:tr>
      <w:tr>
        <w:tc>
          <w:tcPr>
            <w:tcW w:type="dxa" w:w="2700"/>
            <w:shd w:fill="F8FAFC" w:val="clear"/>
          </w:tcPr>
          <w:p>
            <w:pPr>
              <w:spacing w:before="0" w:after="0" w:line="252" w:lineRule="auto"/>
            </w:pPr>
            <w:r>
              <w:rPr>
                <w:rFonts w:ascii="Calibri" w:hAnsi="Calibri"/>
                <w:b w:val="0"/>
                <w:color w:val="222222"/>
                <w:sz w:val="19"/>
              </w:rPr>
              <w:t>Instance</w:t>
            </w:r>
          </w:p>
        </w:tc>
        <w:tc>
          <w:tcPr>
            <w:tcW w:type="dxa" w:w="6660"/>
            <w:shd w:fill="F8FAFC" w:val="clear"/>
          </w:tcPr>
          <w:p>
            <w:pPr>
              <w:spacing w:before="0" w:after="0" w:line="252" w:lineRule="auto"/>
            </w:pPr>
            <w:r>
              <w:rPr>
                <w:rFonts w:ascii="Calibri" w:hAnsi="Calibri"/>
                <w:b w:val="0"/>
                <w:color w:val="222222"/>
                <w:sz w:val="19"/>
              </w:rPr>
              <w:t>USA1310S</w:t>
            </w:r>
          </w:p>
        </w:tc>
      </w:tr>
      <w:tr>
        <w:tc>
          <w:tcPr>
            <w:tcW w:type="dxa" w:w="2700"/>
          </w:tcPr>
          <w:p>
            <w:pPr>
              <w:spacing w:before="0" w:after="0" w:line="252" w:lineRule="auto"/>
            </w:pPr>
            <w:r>
              <w:rPr>
                <w:rFonts w:ascii="Calibri" w:hAnsi="Calibri"/>
                <w:b w:val="0"/>
                <w:color w:val="222222"/>
                <w:sz w:val="19"/>
              </w:rPr>
              <w:t>Sandbox domain</w:t>
            </w:r>
          </w:p>
        </w:tc>
        <w:tc>
          <w:tcPr>
            <w:tcW w:type="dxa" w:w="6660"/>
          </w:tcPr>
          <w:p>
            <w:pPr>
              <w:spacing w:before="0" w:after="0" w:line="252" w:lineRule="auto"/>
            </w:pPr>
            <w:r>
              <w:rPr>
                <w:rFonts w:ascii="Calibri" w:hAnsi="Calibri"/>
                <w:b w:val="0"/>
                <w:color w:val="222222"/>
                <w:sz w:val="19"/>
              </w:rPr>
              <w:t>probomedical--uat.sandbox</w:t>
            </w:r>
          </w:p>
        </w:tc>
      </w:tr>
      <w:tr>
        <w:tc>
          <w:tcPr>
            <w:tcW w:type="dxa" w:w="2700"/>
            <w:shd w:fill="F8FAFC" w:val="clear"/>
          </w:tcPr>
          <w:p>
            <w:pPr>
              <w:spacing w:before="0" w:after="0" w:line="252" w:lineRule="auto"/>
            </w:pPr>
            <w:r>
              <w:rPr>
                <w:rFonts w:ascii="Calibri" w:hAnsi="Calibri"/>
                <w:b w:val="0"/>
                <w:color w:val="222222"/>
                <w:sz w:val="19"/>
              </w:rPr>
              <w:t>Manual-test readiness</w:t>
            </w:r>
          </w:p>
        </w:tc>
        <w:tc>
          <w:tcPr>
            <w:tcW w:type="dxa" w:w="6660"/>
            <w:shd w:fill="F8FAFC" w:val="clear"/>
          </w:tcPr>
          <w:p>
            <w:pPr>
              <w:spacing w:before="0" w:after="0" w:line="252" w:lineRule="auto"/>
            </w:pPr>
            <w:r>
              <w:rPr>
                <w:rFonts w:ascii="Calibri" w:hAnsi="Calibri"/>
                <w:b/>
                <w:color w:val="1F6D4A"/>
                <w:sz w:val="19"/>
              </w:rPr>
              <w:t>READY - folder link required</w:t>
            </w:r>
          </w:p>
        </w:tc>
      </w:tr>
    </w:tbl>
    <w:p>
      <w:pPr>
        <w:spacing w:after="0"/>
      </w:pPr>
    </w:p>
    <w:p>
      <w:pPr>
        <w:spacing w:before="160" w:after="200" w:line="264" w:lineRule="auto"/>
        <w:ind w:left="173" w:right="72"/>
        <w:shd w:fill="F4F6F9"/>
        <w:pBdr>
          <w:left w:val="single" w:sz="18" w:space="8" w:color="2E74B5"/>
        </w:pBdr>
      </w:pPr>
      <w:r>
        <w:rPr>
          <w:rFonts w:ascii="Calibri" w:hAnsi="Calibri"/>
          <w:b/>
          <w:color w:val="2E74B5"/>
          <w:sz w:val="21"/>
        </w:rPr>
        <w:t xml:space="preserve">Security note: </w:t>
      </w:r>
      <w:r>
        <w:rPr>
          <w:rFonts w:ascii="Calibri" w:hAnsi="Calibri"/>
          <w:color w:val="222222"/>
          <w:sz w:val="21"/>
        </w:rPr>
        <w:t>Use the standard UAT login and approved Google account. Do not place frontdoor URLs, access tokens, refresh tokens, or authentication codes in test notes, email, or this document.</w:t>
      </w:r>
    </w:p>
    <w:p>
      <w:pPr>
        <w:keepLines/>
      </w:pPr>
      <w:r>
        <w:rPr>
          <w:rFonts w:ascii="Calibri" w:hAnsi="Calibri"/>
          <w:b/>
          <w:color w:val="0B2545"/>
        </w:rPr>
        <w:t xml:space="preserve">Environment impact: </w:t>
      </w:r>
      <w:r>
        <w:rPr>
          <w:rFonts w:ascii="Calibri" w:hAnsi="Calibri"/>
          <w:color w:val="222222"/>
        </w:rPr>
        <w:t>UAT contains the focused correction and dedicated test data. DevDO was not changed during this UAT activity. Production was not changed during this UAT activity. A separate Production rollback remains pending because its authentication session timed out.</w:t>
      </w:r>
    </w:p>
    <w:p>
      <w:pPr>
        <w:spacing w:after="0"/>
      </w:pPr>
      <w:r>
        <w:br w:type="page"/>
      </w:r>
    </w:p>
    <w:p>
      <w:pPr>
        <w:pStyle w:val="Heading1"/>
      </w:pPr>
      <w:r>
        <w:t>2. Original Defect and Reproduction Scenario</w:t>
      </w:r>
    </w:p>
    <w:p>
      <w:pPr>
        <w:keepLines/>
      </w:pPr>
      <w:r>
        <w:rPr>
          <w:rFonts w:ascii="Calibri" w:hAnsi="Calibri"/>
          <w:b/>
          <w:color w:val="0B2545"/>
        </w:rPr>
        <w:t xml:space="preserve">Original symptom: </w:t>
      </w:r>
      <w:r>
        <w:rPr>
          <w:rFonts w:ascii="Calibri" w:hAnsi="Calibri"/>
          <w:color w:val="222222"/>
        </w:rPr>
        <w:t>After Google authentication, Salesforce could lose the Evaluation where the user started. The callback could then raise a null-reference error or select the most recently modified Evaluation instead of the intended record.</w:t>
      </w:r>
    </w:p>
    <w:p>
      <w:pPr>
        <w:keepLines/>
      </w:pPr>
      <w:r>
        <w:rPr>
          <w:rFonts w:ascii="Calibri" w:hAnsi="Calibri"/>
          <w:b/>
          <w:color w:val="0B2545"/>
        </w:rPr>
        <w:t xml:space="preserve">Root cause: </w:t>
      </w:r>
      <w:r>
        <w:rPr>
          <w:rFonts w:ascii="Calibri" w:hAnsi="Calibri"/>
          <w:color w:val="222222"/>
        </w:rPr>
        <w:t>The OAuth request did not preserve the originating Evaluation ID through the redirect. The callback attempted to recover by querying the latest Evaluation modified by the current user, which was unsafe when another Evaluation had been modified more recently or when the shared execution user had no usable record.</w:t>
      </w:r>
    </w:p>
    <w:p>
      <w:pPr>
        <w:spacing w:before="160" w:after="200" w:line="264" w:lineRule="auto"/>
        <w:ind w:left="173" w:right="72"/>
        <w:shd w:fill="F4F6F9"/>
        <w:pBdr>
          <w:left w:val="single" w:sz="18" w:space="8" w:color="7A5A00"/>
        </w:pBdr>
      </w:pPr>
      <w:r>
        <w:rPr>
          <w:rFonts w:ascii="Calibri" w:hAnsi="Calibri"/>
          <w:b/>
          <w:color w:val="7A5A00"/>
          <w:sz w:val="21"/>
        </w:rPr>
        <w:t xml:space="preserve">Important testing distinction: </w:t>
      </w:r>
      <w:r>
        <w:rPr>
          <w:rFonts w:ascii="Calibri" w:hAnsi="Calibri"/>
          <w:color w:val="222222"/>
          <w:sz w:val="21"/>
        </w:rPr>
        <w:t>The steps below describe how the old regression was triggered. Because the correction is already active in UAT, the current expected result is the protected behavior in the final column. Reproducing the old wrong-record outcome would require an approved pre-fix environment or code rollback and is not part of this UAT.</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650"/>
        <w:gridCol w:w="2970"/>
        <w:gridCol w:w="2730"/>
        <w:gridCol w:w="3010"/>
      </w:tblGrid>
      <w:tr>
        <w:trPr>
          <w:tblHeader w:val="true"/>
        </w:trPr>
        <w:tc>
          <w:tcPr>
            <w:tcW w:type="dxa" w:w="650"/>
            <w:vAlign w:val="center"/>
            <w:tcMar>
              <w:top w:w="80" w:type="dxa"/>
              <w:start w:w="120" w:type="dxa"/>
              <w:bottom w:w="80" w:type="dxa"/>
              <w:end w:w="120" w:type="dxa"/>
            </w:tcMar>
            <w:shd w:fill="F2F4F7" w:val="clear"/>
          </w:tcPr>
          <w:p>
            <w:pPr>
              <w:spacing w:before="0" w:after="0"/>
            </w:pPr>
            <w:r>
              <w:rPr>
                <w:rFonts w:ascii="Calibri" w:hAnsi="Calibri"/>
                <w:b/>
                <w:color w:val="0B2545"/>
                <w:sz w:val="19"/>
              </w:rPr>
              <w:t>Step</w:t>
            </w:r>
          </w:p>
        </w:tc>
        <w:tc>
          <w:tcPr>
            <w:tcW w:type="dxa" w:w="2970"/>
            <w:vAlign w:val="center"/>
            <w:tcMar>
              <w:top w:w="80" w:type="dxa"/>
              <w:start w:w="120" w:type="dxa"/>
              <w:bottom w:w="80" w:type="dxa"/>
              <w:end w:w="120" w:type="dxa"/>
            </w:tcMar>
            <w:shd w:fill="F2F4F7" w:val="clear"/>
          </w:tcPr>
          <w:p>
            <w:pPr>
              <w:spacing w:before="0" w:after="0"/>
            </w:pPr>
            <w:r>
              <w:rPr>
                <w:rFonts w:ascii="Calibri" w:hAnsi="Calibri"/>
                <w:b/>
                <w:color w:val="0B2545"/>
                <w:sz w:val="19"/>
              </w:rPr>
              <w:t>Historical trigger</w:t>
            </w:r>
          </w:p>
        </w:tc>
        <w:tc>
          <w:tcPr>
            <w:tcW w:type="dxa" w:w="2730"/>
            <w:vAlign w:val="center"/>
            <w:tcMar>
              <w:top w:w="80" w:type="dxa"/>
              <w:start w:w="120" w:type="dxa"/>
              <w:bottom w:w="80" w:type="dxa"/>
              <w:end w:w="120" w:type="dxa"/>
            </w:tcMar>
            <w:shd w:fill="F2F4F7" w:val="clear"/>
          </w:tcPr>
          <w:p>
            <w:pPr>
              <w:spacing w:before="0" w:after="0"/>
            </w:pPr>
            <w:r>
              <w:rPr>
                <w:rFonts w:ascii="Calibri" w:hAnsi="Calibri"/>
                <w:b/>
                <w:color w:val="0B2545"/>
                <w:sz w:val="19"/>
              </w:rPr>
              <w:t>Old result</w:t>
            </w:r>
          </w:p>
        </w:tc>
        <w:tc>
          <w:tcPr>
            <w:tcW w:type="dxa" w:w="3010"/>
            <w:vAlign w:val="center"/>
            <w:tcMar>
              <w:top w:w="80" w:type="dxa"/>
              <w:start w:w="120" w:type="dxa"/>
              <w:bottom w:w="80" w:type="dxa"/>
              <w:end w:w="120" w:type="dxa"/>
            </w:tcMar>
            <w:shd w:fill="F2F4F7" w:val="clear"/>
          </w:tcPr>
          <w:p>
            <w:pPr>
              <w:spacing w:before="0" w:after="0"/>
            </w:pPr>
            <w:r>
              <w:rPr>
                <w:rFonts w:ascii="Calibri" w:hAnsi="Calibri"/>
                <w:b/>
                <w:color w:val="0B2545"/>
                <w:sz w:val="19"/>
              </w:rPr>
              <w:t>Current UAT result</w:t>
            </w:r>
          </w:p>
        </w:tc>
      </w:tr>
      <w:tr>
        <w:tc>
          <w:tcPr>
            <w:tcW w:type="dxa" w:w="650"/>
          </w:tcPr>
          <w:p>
            <w:pPr>
              <w:spacing w:before="0" w:after="0" w:line="252" w:lineRule="auto"/>
            </w:pPr>
            <w:r>
              <w:rPr>
                <w:rFonts w:ascii="Calibri" w:hAnsi="Calibri"/>
                <w:b w:val="0"/>
                <w:color w:val="222222"/>
                <w:sz w:val="19"/>
              </w:rPr>
              <w:t>1</w:t>
            </w:r>
          </w:p>
        </w:tc>
        <w:tc>
          <w:tcPr>
            <w:tcW w:type="dxa" w:w="2970"/>
          </w:tcPr>
          <w:p>
            <w:pPr>
              <w:spacing w:before="0" w:after="0" w:line="252" w:lineRule="auto"/>
            </w:pPr>
            <w:r>
              <w:rPr>
                <w:rFonts w:ascii="Calibri" w:hAnsi="Calibri"/>
                <w:b w:val="0"/>
                <w:color w:val="222222"/>
                <w:sz w:val="19"/>
              </w:rPr>
              <w:t>Open primary Evaluation A with a linked RMA, Product Item, and Drive folder.</w:t>
            </w:r>
          </w:p>
        </w:tc>
        <w:tc>
          <w:tcPr>
            <w:tcW w:type="dxa" w:w="2730"/>
          </w:tcPr>
          <w:p>
            <w:pPr>
              <w:spacing w:before="0" w:after="0" w:line="252" w:lineRule="auto"/>
            </w:pPr>
            <w:r>
              <w:rPr>
                <w:rFonts w:ascii="Calibri" w:hAnsi="Calibri"/>
                <w:b w:val="0"/>
                <w:color w:val="222222"/>
                <w:sz w:val="19"/>
              </w:rPr>
              <w:t>Authentication starts from A.</w:t>
            </w:r>
          </w:p>
        </w:tc>
        <w:tc>
          <w:tcPr>
            <w:tcW w:type="dxa" w:w="3010"/>
          </w:tcPr>
          <w:p>
            <w:pPr>
              <w:spacing w:before="0" w:after="0" w:line="252" w:lineRule="auto"/>
            </w:pPr>
            <w:r>
              <w:rPr>
                <w:rFonts w:ascii="Calibri" w:hAnsi="Calibri"/>
                <w:b w:val="0"/>
                <w:color w:val="222222"/>
                <w:sz w:val="19"/>
              </w:rPr>
              <w:t>Authentication starts from A.</w:t>
            </w:r>
          </w:p>
        </w:tc>
      </w:tr>
      <w:tr>
        <w:tc>
          <w:tcPr>
            <w:tcW w:type="dxa" w:w="650"/>
            <w:shd w:fill="F8FAFC" w:val="clear"/>
          </w:tcPr>
          <w:p>
            <w:pPr>
              <w:spacing w:before="0" w:after="0" w:line="252" w:lineRule="auto"/>
            </w:pPr>
            <w:r>
              <w:rPr>
                <w:rFonts w:ascii="Calibri" w:hAnsi="Calibri"/>
                <w:b w:val="0"/>
                <w:color w:val="222222"/>
                <w:sz w:val="19"/>
              </w:rPr>
              <w:t>2</w:t>
            </w:r>
          </w:p>
        </w:tc>
        <w:tc>
          <w:tcPr>
            <w:tcW w:type="dxa" w:w="2970"/>
            <w:shd w:fill="F8FAFC" w:val="clear"/>
          </w:tcPr>
          <w:p>
            <w:pPr>
              <w:spacing w:before="0" w:after="0" w:line="252" w:lineRule="auto"/>
            </w:pPr>
            <w:r>
              <w:rPr>
                <w:rFonts w:ascii="Calibri" w:hAnsi="Calibri"/>
                <w:b w:val="0"/>
                <w:color w:val="222222"/>
                <w:sz w:val="19"/>
              </w:rPr>
              <w:t>Modify a separate Evaluation B after A so B becomes the latest modified record.</w:t>
            </w:r>
          </w:p>
        </w:tc>
        <w:tc>
          <w:tcPr>
            <w:tcW w:type="dxa" w:w="2730"/>
            <w:shd w:fill="F8FAFC" w:val="clear"/>
          </w:tcPr>
          <w:p>
            <w:pPr>
              <w:spacing w:before="0" w:after="0" w:line="252" w:lineRule="auto"/>
            </w:pPr>
            <w:r>
              <w:rPr>
                <w:rFonts w:ascii="Calibri" w:hAnsi="Calibri"/>
                <w:b w:val="0"/>
                <w:color w:val="222222"/>
                <w:sz w:val="19"/>
              </w:rPr>
              <w:t>B can become the fallback candidate.</w:t>
            </w:r>
          </w:p>
        </w:tc>
        <w:tc>
          <w:tcPr>
            <w:tcW w:type="dxa" w:w="3010"/>
            <w:shd w:fill="F8FAFC" w:val="clear"/>
          </w:tcPr>
          <w:p>
            <w:pPr>
              <w:spacing w:before="0" w:after="0" w:line="252" w:lineRule="auto"/>
            </w:pPr>
            <w:r>
              <w:rPr>
                <w:rFonts w:ascii="Calibri" w:hAnsi="Calibri"/>
                <w:b w:val="0"/>
                <w:color w:val="222222"/>
                <w:sz w:val="19"/>
              </w:rPr>
              <w:t>B is irrelevant to callback selection.</w:t>
            </w:r>
          </w:p>
        </w:tc>
      </w:tr>
      <w:tr>
        <w:tc>
          <w:tcPr>
            <w:tcW w:type="dxa" w:w="650"/>
          </w:tcPr>
          <w:p>
            <w:pPr>
              <w:spacing w:before="0" w:after="0" w:line="252" w:lineRule="auto"/>
            </w:pPr>
            <w:r>
              <w:rPr>
                <w:rFonts w:ascii="Calibri" w:hAnsi="Calibri"/>
                <w:b w:val="0"/>
                <w:color w:val="222222"/>
                <w:sz w:val="19"/>
              </w:rPr>
              <w:t>3</w:t>
            </w:r>
          </w:p>
        </w:tc>
        <w:tc>
          <w:tcPr>
            <w:tcW w:type="dxa" w:w="2970"/>
          </w:tcPr>
          <w:p>
            <w:pPr>
              <w:spacing w:before="0" w:after="0" w:line="252" w:lineRule="auto"/>
            </w:pPr>
            <w:r>
              <w:rPr>
                <w:rFonts w:ascii="Calibri" w:hAnsi="Calibri"/>
                <w:b w:val="0"/>
                <w:color w:val="222222"/>
                <w:sz w:val="19"/>
              </w:rPr>
              <w:t>Start Google authentication from A and complete sign-in.</w:t>
            </w:r>
          </w:p>
        </w:tc>
        <w:tc>
          <w:tcPr>
            <w:tcW w:type="dxa" w:w="2730"/>
          </w:tcPr>
          <w:p>
            <w:pPr>
              <w:spacing w:before="0" w:after="0" w:line="252" w:lineRule="auto"/>
            </w:pPr>
            <w:r>
              <w:rPr>
                <w:rFonts w:ascii="Calibri" w:hAnsi="Calibri"/>
                <w:b w:val="0"/>
                <w:color w:val="222222"/>
                <w:sz w:val="19"/>
              </w:rPr>
              <w:t>The redirect does not retain A.</w:t>
            </w:r>
          </w:p>
        </w:tc>
        <w:tc>
          <w:tcPr>
            <w:tcW w:type="dxa" w:w="3010"/>
          </w:tcPr>
          <w:p>
            <w:pPr>
              <w:spacing w:before="0" w:after="0" w:line="252" w:lineRule="auto"/>
            </w:pPr>
            <w:r>
              <w:rPr>
                <w:rFonts w:ascii="Calibri" w:hAnsi="Calibri"/>
                <w:b w:val="0"/>
                <w:color w:val="222222"/>
                <w:sz w:val="19"/>
              </w:rPr>
              <w:t>The redirect carries A in encoded OAuth state.</w:t>
            </w:r>
          </w:p>
        </w:tc>
      </w:tr>
      <w:tr>
        <w:tc>
          <w:tcPr>
            <w:tcW w:type="dxa" w:w="650"/>
            <w:shd w:fill="F8FAFC" w:val="clear"/>
          </w:tcPr>
          <w:p>
            <w:pPr>
              <w:spacing w:before="0" w:after="0" w:line="252" w:lineRule="auto"/>
            </w:pPr>
            <w:r>
              <w:rPr>
                <w:rFonts w:ascii="Calibri" w:hAnsi="Calibri"/>
                <w:b w:val="0"/>
                <w:color w:val="222222"/>
                <w:sz w:val="19"/>
              </w:rPr>
              <w:t>4</w:t>
            </w:r>
          </w:p>
        </w:tc>
        <w:tc>
          <w:tcPr>
            <w:tcW w:type="dxa" w:w="2970"/>
            <w:shd w:fill="F8FAFC" w:val="clear"/>
          </w:tcPr>
          <w:p>
            <w:pPr>
              <w:spacing w:before="0" w:after="0" w:line="252" w:lineRule="auto"/>
            </w:pPr>
            <w:r>
              <w:rPr>
                <w:rFonts w:ascii="Calibri" w:hAnsi="Calibri"/>
                <w:b w:val="0"/>
                <w:color w:val="222222"/>
                <w:sz w:val="19"/>
              </w:rPr>
              <w:t>Return to Salesforce and save imported image references.</w:t>
            </w:r>
          </w:p>
        </w:tc>
        <w:tc>
          <w:tcPr>
            <w:tcW w:type="dxa" w:w="2730"/>
            <w:shd w:fill="F8FAFC" w:val="clear"/>
          </w:tcPr>
          <w:p>
            <w:pPr>
              <w:spacing w:before="0" w:after="0" w:line="252" w:lineRule="auto"/>
            </w:pPr>
            <w:r>
              <w:rPr>
                <w:rFonts w:ascii="Calibri" w:hAnsi="Calibri"/>
                <w:b w:val="0"/>
                <w:color w:val="222222"/>
                <w:sz w:val="19"/>
              </w:rPr>
              <w:t>A null error may occur, or B may be selected.</w:t>
            </w:r>
          </w:p>
        </w:tc>
        <w:tc>
          <w:tcPr>
            <w:tcW w:type="dxa" w:w="3010"/>
            <w:shd w:fill="F8FAFC" w:val="clear"/>
          </w:tcPr>
          <w:p>
            <w:pPr>
              <w:spacing w:before="0" w:after="0" w:line="252" w:lineRule="auto"/>
            </w:pPr>
            <w:r>
              <w:rPr>
                <w:rFonts w:ascii="Calibri" w:hAnsi="Calibri"/>
                <w:b w:val="0"/>
                <w:color w:val="222222"/>
                <w:sz w:val="19"/>
              </w:rPr>
              <w:t>A is restored and validated before processing.</w:t>
            </w:r>
          </w:p>
        </w:tc>
      </w:tr>
      <w:tr>
        <w:tc>
          <w:tcPr>
            <w:tcW w:type="dxa" w:w="650"/>
          </w:tcPr>
          <w:p>
            <w:pPr>
              <w:spacing w:before="0" w:after="0" w:line="252" w:lineRule="auto"/>
            </w:pPr>
            <w:r>
              <w:rPr>
                <w:rFonts w:ascii="Calibri" w:hAnsi="Calibri"/>
                <w:b w:val="0"/>
                <w:color w:val="222222"/>
                <w:sz w:val="19"/>
              </w:rPr>
              <w:t>5</w:t>
            </w:r>
          </w:p>
        </w:tc>
        <w:tc>
          <w:tcPr>
            <w:tcW w:type="dxa" w:w="2970"/>
          </w:tcPr>
          <w:p>
            <w:pPr>
              <w:spacing w:before="0" w:after="0" w:line="252" w:lineRule="auto"/>
            </w:pPr>
            <w:r>
              <w:rPr>
                <w:rFonts w:ascii="Calibri" w:hAnsi="Calibri"/>
                <w:b w:val="0"/>
                <w:color w:val="222222"/>
                <w:sz w:val="19"/>
              </w:rPr>
              <w:t>Refresh both Evaluations.</w:t>
            </w:r>
          </w:p>
        </w:tc>
        <w:tc>
          <w:tcPr>
            <w:tcW w:type="dxa" w:w="2730"/>
          </w:tcPr>
          <w:p>
            <w:pPr>
              <w:spacing w:before="0" w:after="0" w:line="252" w:lineRule="auto"/>
            </w:pPr>
            <w:r>
              <w:rPr>
                <w:rFonts w:ascii="Calibri" w:hAnsi="Calibri"/>
                <w:b w:val="0"/>
                <w:color w:val="222222"/>
                <w:sz w:val="19"/>
              </w:rPr>
              <w:t>The intended record may be unchanged while another record is at risk.</w:t>
            </w:r>
          </w:p>
        </w:tc>
        <w:tc>
          <w:tcPr>
            <w:tcW w:type="dxa" w:w="3010"/>
          </w:tcPr>
          <w:p>
            <w:pPr>
              <w:spacing w:before="0" w:after="0" w:line="252" w:lineRule="auto"/>
            </w:pPr>
            <w:r>
              <w:rPr>
                <w:rFonts w:ascii="Calibri" w:hAnsi="Calibri"/>
                <w:b w:val="0"/>
                <w:color w:val="222222"/>
                <w:sz w:val="19"/>
              </w:rPr>
              <w:t>A receives the intended references; B remains unchanged.</w:t>
            </w:r>
          </w:p>
        </w:tc>
      </w:tr>
    </w:tbl>
    <w:p>
      <w:pPr>
        <w:spacing w:after="0"/>
      </w:pPr>
    </w:p>
    <w:p>
      <w:pPr>
        <w:pStyle w:val="Heading1"/>
      </w:pPr>
      <w:r>
        <w:t>3. What Changed</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600"/>
        <w:gridCol w:w="4040"/>
        <w:gridCol w:w="2720"/>
      </w:tblGrid>
      <w:tr>
        <w:trPr>
          <w:tblHeader w:val="true"/>
        </w:trPr>
        <w:tc>
          <w:tcPr>
            <w:tcW w:type="dxa" w:w="2600"/>
            <w:vAlign w:val="center"/>
            <w:tcMar>
              <w:top w:w="80" w:type="dxa"/>
              <w:start w:w="120" w:type="dxa"/>
              <w:bottom w:w="80" w:type="dxa"/>
              <w:end w:w="120" w:type="dxa"/>
            </w:tcMar>
            <w:shd w:fill="F2F4F7" w:val="clear"/>
          </w:tcPr>
          <w:p>
            <w:pPr>
              <w:spacing w:before="0" w:after="0"/>
            </w:pPr>
            <w:r>
              <w:rPr>
                <w:rFonts w:ascii="Calibri" w:hAnsi="Calibri"/>
                <w:b/>
                <w:color w:val="0B2545"/>
                <w:sz w:val="19"/>
              </w:rPr>
              <w:t>Apex component</w:t>
            </w:r>
          </w:p>
        </w:tc>
        <w:tc>
          <w:tcPr>
            <w:tcW w:type="dxa" w:w="4040"/>
            <w:vAlign w:val="center"/>
            <w:tcMar>
              <w:top w:w="80" w:type="dxa"/>
              <w:start w:w="120" w:type="dxa"/>
              <w:bottom w:w="80" w:type="dxa"/>
              <w:end w:w="120" w:type="dxa"/>
            </w:tcMar>
            <w:shd w:fill="F2F4F7" w:val="clear"/>
          </w:tcPr>
          <w:p>
            <w:pPr>
              <w:spacing w:before="0" w:after="0"/>
            </w:pPr>
            <w:r>
              <w:rPr>
                <w:rFonts w:ascii="Calibri" w:hAnsi="Calibri"/>
                <w:b/>
                <w:color w:val="0B2545"/>
                <w:sz w:val="19"/>
              </w:rPr>
              <w:t>Change</w:t>
            </w:r>
          </w:p>
        </w:tc>
        <w:tc>
          <w:tcPr>
            <w:tcW w:type="dxa" w:w="2720"/>
            <w:vAlign w:val="center"/>
            <w:tcMar>
              <w:top w:w="80" w:type="dxa"/>
              <w:start w:w="120" w:type="dxa"/>
              <w:bottom w:w="80" w:type="dxa"/>
              <w:end w:w="120" w:type="dxa"/>
            </w:tcMar>
            <w:shd w:fill="F2F4F7" w:val="clear"/>
          </w:tcPr>
          <w:p>
            <w:pPr>
              <w:spacing w:before="0" w:after="0"/>
            </w:pPr>
            <w:r>
              <w:rPr>
                <w:rFonts w:ascii="Calibri" w:hAnsi="Calibri"/>
                <w:b/>
                <w:color w:val="0B2545"/>
                <w:sz w:val="19"/>
              </w:rPr>
              <w:t>Result</w:t>
            </w:r>
          </w:p>
        </w:tc>
      </w:tr>
      <w:tr>
        <w:tc>
          <w:tcPr>
            <w:tcW w:type="dxa" w:w="2600"/>
          </w:tcPr>
          <w:p>
            <w:pPr>
              <w:spacing w:before="0" w:after="0" w:line="252" w:lineRule="auto"/>
            </w:pPr>
            <w:r>
              <w:rPr>
                <w:rFonts w:ascii="Calibri" w:hAnsi="Calibri"/>
                <w:b w:val="0"/>
                <w:color w:val="222222"/>
                <w:sz w:val="19"/>
              </w:rPr>
              <w:t>cAuthURIForEval</w:t>
            </w:r>
          </w:p>
        </w:tc>
        <w:tc>
          <w:tcPr>
            <w:tcW w:type="dxa" w:w="4040"/>
          </w:tcPr>
          <w:p>
            <w:pPr>
              <w:spacing w:before="0" w:after="0" w:line="252" w:lineRule="auto"/>
            </w:pPr>
            <w:r>
              <w:rPr>
                <w:rFonts w:ascii="Calibri" w:hAnsi="Calibri"/>
                <w:b w:val="0"/>
                <w:color w:val="222222"/>
                <w:sz w:val="19"/>
              </w:rPr>
              <w:t>Adds an Evaluation-aware constructor. The original Evaluation ID is appended to OAuth state and the complete state value is URL-encoded.</w:t>
            </w:r>
          </w:p>
        </w:tc>
        <w:tc>
          <w:tcPr>
            <w:tcW w:type="dxa" w:w="2720"/>
          </w:tcPr>
          <w:p>
            <w:pPr>
              <w:spacing w:before="0" w:after="0" w:line="252" w:lineRule="auto"/>
            </w:pPr>
            <w:r>
              <w:rPr>
                <w:rFonts w:ascii="Calibri" w:hAnsi="Calibri"/>
                <w:b w:val="0"/>
                <w:color w:val="222222"/>
                <w:sz w:val="19"/>
              </w:rPr>
              <w:t>Google can return Salesforce to the exact Evaluation where authentication started.</w:t>
            </w:r>
          </w:p>
        </w:tc>
      </w:tr>
      <w:tr>
        <w:tc>
          <w:tcPr>
            <w:tcW w:type="dxa" w:w="2600"/>
            <w:shd w:fill="F8FAFC" w:val="clear"/>
          </w:tcPr>
          <w:p>
            <w:pPr>
              <w:spacing w:before="0" w:after="0" w:line="252" w:lineRule="auto"/>
            </w:pPr>
            <w:r>
              <w:rPr>
                <w:rFonts w:ascii="Calibri" w:hAnsi="Calibri"/>
                <w:b w:val="0"/>
                <w:color w:val="222222"/>
                <w:sz w:val="19"/>
              </w:rPr>
              <w:t>cGoogleAppAuthenticationWithSalesforce</w:t>
            </w:r>
          </w:p>
        </w:tc>
        <w:tc>
          <w:tcPr>
            <w:tcW w:type="dxa" w:w="4040"/>
            <w:shd w:fill="F8FAFC" w:val="clear"/>
          </w:tcPr>
          <w:p>
            <w:pPr>
              <w:spacing w:before="0" w:after="0" w:line="252" w:lineRule="auto"/>
            </w:pPr>
            <w:r>
              <w:rPr>
                <w:rFonts w:ascii="Calibri" w:hAnsi="Calibri"/>
                <w:b w:val="0"/>
                <w:color w:val="222222"/>
                <w:sz w:val="19"/>
              </w:rPr>
              <w:t>Reads the page ID first, then safely restores the Evaluation ID from OAuth state. It validates the ID type and removes the latest-modified-Evaluation fallback.</w:t>
            </w:r>
          </w:p>
        </w:tc>
        <w:tc>
          <w:tcPr>
            <w:tcW w:type="dxa" w:w="2720"/>
            <w:shd w:fill="F8FAFC" w:val="clear"/>
          </w:tcPr>
          <w:p>
            <w:pPr>
              <w:spacing w:before="0" w:after="0" w:line="252" w:lineRule="auto"/>
            </w:pPr>
            <w:r>
              <w:rPr>
                <w:rFonts w:ascii="Calibri" w:hAnsi="Calibri"/>
                <w:b w:val="0"/>
                <w:color w:val="222222"/>
                <w:sz w:val="19"/>
              </w:rPr>
              <w:t>The controller stops rather than guessing when an Evaluation cannot be identified.</w:t>
            </w:r>
          </w:p>
        </w:tc>
      </w:tr>
      <w:tr>
        <w:tc>
          <w:tcPr>
            <w:tcW w:type="dxa" w:w="2600"/>
          </w:tcPr>
          <w:p>
            <w:pPr>
              <w:spacing w:before="0" w:after="0" w:line="252" w:lineRule="auto"/>
            </w:pPr>
            <w:r>
              <w:rPr>
                <w:rFonts w:ascii="Calibri" w:hAnsi="Calibri"/>
                <w:b w:val="0"/>
                <w:color w:val="222222"/>
                <w:sz w:val="19"/>
              </w:rPr>
              <w:t>cGoogleAppAuthenticationWithSalesforce</w:t>
            </w:r>
          </w:p>
        </w:tc>
        <w:tc>
          <w:tcPr>
            <w:tcW w:type="dxa" w:w="4040"/>
          </w:tcPr>
          <w:p>
            <w:pPr>
              <w:spacing w:before="0" w:after="0" w:line="252" w:lineRule="auto"/>
            </w:pPr>
            <w:r>
              <w:rPr>
                <w:rFonts w:ascii="Calibri" w:hAnsi="Calibri"/>
                <w:b w:val="0"/>
                <w:color w:val="222222"/>
                <w:sz w:val="19"/>
              </w:rPr>
              <w:t>Uses safe relationship and record checks for Evaluation, RMA, Product Item, Product Test, and Drive folder prerequisites.</w:t>
            </w:r>
          </w:p>
        </w:tc>
        <w:tc>
          <w:tcPr>
            <w:tcW w:type="dxa" w:w="2720"/>
          </w:tcPr>
          <w:p>
            <w:pPr>
              <w:spacing w:before="0" w:after="0" w:line="252" w:lineRule="auto"/>
            </w:pPr>
            <w:r>
              <w:rPr>
                <w:rFonts w:ascii="Calibri" w:hAnsi="Calibri"/>
                <w:b w:val="0"/>
                <w:color w:val="222222"/>
                <w:sz w:val="19"/>
              </w:rPr>
              <w:t>Missing data produces a readable page error instead of a null-pointer failure.</w:t>
            </w:r>
          </w:p>
        </w:tc>
      </w:tr>
      <w:tr>
        <w:tc>
          <w:tcPr>
            <w:tcW w:type="dxa" w:w="2600"/>
            <w:shd w:fill="F8FAFC" w:val="clear"/>
          </w:tcPr>
          <w:p>
            <w:pPr>
              <w:spacing w:before="0" w:after="0" w:line="252" w:lineRule="auto"/>
            </w:pPr>
            <w:r>
              <w:rPr>
                <w:rFonts w:ascii="Calibri" w:hAnsi="Calibri"/>
                <w:b w:val="0"/>
                <w:color w:val="222222"/>
                <w:sz w:val="19"/>
              </w:rPr>
              <w:t>cGoogleAppAuthenticationWithSalesforce</w:t>
            </w:r>
          </w:p>
        </w:tc>
        <w:tc>
          <w:tcPr>
            <w:tcW w:type="dxa" w:w="4040"/>
            <w:shd w:fill="F8FAFC" w:val="clear"/>
          </w:tcPr>
          <w:p>
            <w:pPr>
              <w:spacing w:before="0" w:after="0" w:line="252" w:lineRule="auto"/>
            </w:pPr>
            <w:r>
              <w:rPr>
                <w:rFonts w:ascii="Calibri" w:hAnsi="Calibri"/>
                <w:b w:val="0"/>
                <w:color w:val="222222"/>
                <w:sz w:val="19"/>
              </w:rPr>
              <w:t>Normalizes either a raw folder ID or a full Drive folder URL, removes query-string values such as resourcekey, and ignores unsafe blank or malformed file mappings.</w:t>
            </w:r>
          </w:p>
        </w:tc>
        <w:tc>
          <w:tcPr>
            <w:tcW w:type="dxa" w:w="2720"/>
            <w:shd w:fill="F8FAFC" w:val="clear"/>
          </w:tcPr>
          <w:p>
            <w:pPr>
              <w:spacing w:before="0" w:after="0" w:line="252" w:lineRule="auto"/>
            </w:pPr>
            <w:r>
              <w:rPr>
                <w:rFonts w:ascii="Calibri" w:hAnsi="Calibri"/>
                <w:b w:val="0"/>
                <w:color w:val="222222"/>
                <w:sz w:val="19"/>
              </w:rPr>
              <w:t>Folder and filename processing is more tolerant and predictable.</w:t>
            </w:r>
          </w:p>
        </w:tc>
      </w:tr>
      <w:tr>
        <w:tc>
          <w:tcPr>
            <w:tcW w:type="dxa" w:w="2600"/>
          </w:tcPr>
          <w:p>
            <w:pPr>
              <w:spacing w:before="0" w:after="0" w:line="252" w:lineRule="auto"/>
            </w:pPr>
            <w:r>
              <w:rPr>
                <w:rFonts w:ascii="Calibri" w:hAnsi="Calibri"/>
                <w:b w:val="0"/>
                <w:color w:val="222222"/>
                <w:sz w:val="19"/>
              </w:rPr>
              <w:t>GoogleAuthTestClass</w:t>
            </w:r>
          </w:p>
        </w:tc>
        <w:tc>
          <w:tcPr>
            <w:tcW w:type="dxa" w:w="4040"/>
          </w:tcPr>
          <w:p>
            <w:pPr>
              <w:spacing w:before="0" w:after="0" w:line="252" w:lineRule="auto"/>
            </w:pPr>
            <w:r>
              <w:rPr>
                <w:rFonts w:ascii="Calibri" w:hAnsi="Calibri"/>
                <w:b w:val="0"/>
                <w:color w:val="222222"/>
                <w:sz w:val="19"/>
              </w:rPr>
              <w:t>Adds a competing Evaluation, callback-state restoration, full-folder-URL normalization, dated-folder handling, and negative tests for missing or invalid state.</w:t>
            </w:r>
          </w:p>
        </w:tc>
        <w:tc>
          <w:tcPr>
            <w:tcW w:type="dxa" w:w="2720"/>
          </w:tcPr>
          <w:p>
            <w:pPr>
              <w:spacing w:before="0" w:after="0" w:line="252" w:lineRule="auto"/>
            </w:pPr>
            <w:r>
              <w:rPr>
                <w:rFonts w:ascii="Calibri" w:hAnsi="Calibri"/>
                <w:b w:val="0"/>
                <w:color w:val="222222"/>
                <w:sz w:val="19"/>
              </w:rPr>
              <w:t>Automated coverage now proves the intended Evaluation is updated and the competing Evaluation stays unchanged.</w:t>
            </w:r>
          </w:p>
        </w:tc>
      </w:tr>
    </w:tbl>
    <w:p>
      <w:pPr>
        <w:spacing w:after="0"/>
      </w:pPr>
    </w:p>
    <w:p>
      <w:pPr>
        <w:spacing w:before="160" w:after="200" w:line="264" w:lineRule="auto"/>
        <w:ind w:left="173" w:right="72"/>
        <w:shd w:fill="F4F6F9"/>
        <w:pBdr>
          <w:left w:val="single" w:sz="18" w:space="8" w:color="2E74B5"/>
        </w:pBdr>
      </w:pPr>
      <w:r>
        <w:rPr>
          <w:rFonts w:ascii="Calibri" w:hAnsi="Calibri"/>
          <w:b/>
          <w:color w:val="2E74B5"/>
          <w:sz w:val="21"/>
        </w:rPr>
        <w:t xml:space="preserve">Scope: </w:t>
      </w:r>
      <w:r>
        <w:rPr>
          <w:rFonts w:ascii="Calibri" w:hAnsi="Calibri"/>
          <w:color w:val="222222"/>
          <w:sz w:val="21"/>
        </w:rPr>
        <w:t>Only cAuthURIForEval, cGoogleAppAuthenticationWithSalesforce, and GoogleAuthTestClass were changed for this correction. No Visualforce page, Flow, object, field, permission, profile, or Production configuration change is included in this guide.</w:t>
      </w:r>
    </w:p>
    <w:p>
      <w:pPr>
        <w:spacing w:after="0"/>
      </w:pPr>
      <w:r>
        <w:br w:type="page"/>
      </w:r>
    </w:p>
    <w:p>
      <w:pPr>
        <w:pStyle w:val="Heading1"/>
      </w:pPr>
      <w:r>
        <w:t>4. Dedicated UAT Test Records</w:t>
      </w:r>
    </w:p>
    <w:p>
      <w:pPr>
        <w:keepLines/>
      </w:pPr>
      <w:r>
        <w:rPr>
          <w:rFonts w:ascii="Calibri" w:hAnsi="Calibri"/>
          <w:b/>
          <w:color w:val="0B2545"/>
        </w:rPr>
        <w:t xml:space="preserve">Why dedicated records are required: </w:t>
      </w:r>
      <w:r>
        <w:rPr>
          <w:rFonts w:ascii="Calibri" w:hAnsi="Calibri"/>
          <w:color w:val="222222"/>
        </w:rPr>
        <w:t>Salesforce record IDs and auto-numbers differ by environment. The DevDO records cannot be reused in UAT, so the records below were created specifically for this test.</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800"/>
        <w:gridCol w:w="2100"/>
        <w:gridCol w:w="5460"/>
      </w:tblGrid>
      <w:tr>
        <w:trPr>
          <w:tblHeader w:val="true"/>
        </w:trPr>
        <w:tc>
          <w:tcPr>
            <w:tcW w:type="dxa" w:w="1800"/>
            <w:vAlign w:val="center"/>
            <w:tcMar>
              <w:top w:w="80" w:type="dxa"/>
              <w:start w:w="120" w:type="dxa"/>
              <w:bottom w:w="80" w:type="dxa"/>
              <w:end w:w="120" w:type="dxa"/>
            </w:tcMar>
            <w:shd w:fill="F2F4F7" w:val="clear"/>
          </w:tcPr>
          <w:p>
            <w:pPr>
              <w:spacing w:before="0" w:after="0"/>
            </w:pPr>
            <w:r>
              <w:rPr>
                <w:rFonts w:ascii="Calibri" w:hAnsi="Calibri"/>
                <w:b/>
                <w:color w:val="0B2545"/>
                <w:sz w:val="19"/>
              </w:rPr>
              <w:t>Record</w:t>
            </w:r>
          </w:p>
        </w:tc>
        <w:tc>
          <w:tcPr>
            <w:tcW w:type="dxa" w:w="2100"/>
            <w:vAlign w:val="center"/>
            <w:tcMar>
              <w:top w:w="80" w:type="dxa"/>
              <w:start w:w="120" w:type="dxa"/>
              <w:bottom w:w="80" w:type="dxa"/>
              <w:end w:w="120" w:type="dxa"/>
            </w:tcMar>
            <w:shd w:fill="F2F4F7" w:val="clear"/>
          </w:tcPr>
          <w:p>
            <w:pPr>
              <w:spacing w:before="0" w:after="0"/>
            </w:pPr>
            <w:r>
              <w:rPr>
                <w:rFonts w:ascii="Calibri" w:hAnsi="Calibri"/>
                <w:b/>
                <w:color w:val="0B2545"/>
                <w:sz w:val="19"/>
              </w:rPr>
              <w:t>UAT record</w:t>
            </w:r>
          </w:p>
        </w:tc>
        <w:tc>
          <w:tcPr>
            <w:tcW w:type="dxa" w:w="5460"/>
            <w:vAlign w:val="center"/>
            <w:tcMar>
              <w:top w:w="80" w:type="dxa"/>
              <w:start w:w="120" w:type="dxa"/>
              <w:bottom w:w="80" w:type="dxa"/>
              <w:end w:w="120" w:type="dxa"/>
            </w:tcMar>
            <w:shd w:fill="F2F4F7" w:val="clear"/>
          </w:tcPr>
          <w:p>
            <w:pPr>
              <w:spacing w:before="0" w:after="0"/>
            </w:pPr>
            <w:r>
              <w:rPr>
                <w:rFonts w:ascii="Calibri" w:hAnsi="Calibri"/>
                <w:b/>
                <w:color w:val="0B2545"/>
                <w:sz w:val="19"/>
              </w:rPr>
              <w:t>Test purpose</w:t>
            </w:r>
          </w:p>
        </w:tc>
      </w:tr>
      <w:tr>
        <w:tc>
          <w:tcPr>
            <w:tcW w:type="dxa" w:w="1800"/>
          </w:tcPr>
          <w:p>
            <w:pPr>
              <w:spacing w:before="0" w:after="0" w:line="252" w:lineRule="auto"/>
            </w:pPr>
            <w:r>
              <w:rPr>
                <w:rFonts w:ascii="Calibri" w:hAnsi="Calibri"/>
                <w:b w:val="0"/>
                <w:color w:val="222222"/>
                <w:sz w:val="19"/>
              </w:rPr>
              <w:t>Product Item</w:t>
            </w:r>
          </w:p>
        </w:tc>
        <w:tc>
          <w:tcPr>
            <w:tcW w:type="dxa" w:w="2100"/>
          </w:tcPr>
          <w:p>
            <w:pPr>
              <w:spacing w:before="0" w:after="0" w:line="252" w:lineRule="auto"/>
            </w:pPr>
            <w:hyperlink r:id="rId11">
              <w:r>
                <w:rPr>
                  <w:rFonts w:ascii="Calibri" w:hAnsi="Calibri"/>
                  <w:color w:val="2E74B5"/>
                  <w:u w:val="single"/>
                  <w:sz w:val="19"/>
                </w:rPr>
                <w:t>552082</w:t>
              </w:r>
            </w:hyperlink>
          </w:p>
        </w:tc>
        <w:tc>
          <w:tcPr>
            <w:tcW w:type="dxa" w:w="5460"/>
          </w:tcPr>
          <w:p>
            <w:pPr>
              <w:spacing w:before="0" w:after="0" w:line="252" w:lineRule="auto"/>
            </w:pPr>
            <w:r>
              <w:rPr>
                <w:rFonts w:ascii="Calibri" w:hAnsi="Calibri"/>
                <w:b w:val="0"/>
                <w:color w:val="222222"/>
                <w:sz w:val="19"/>
              </w:rPr>
              <w:t>Dedicated source Product Item. Serial number UAT-00010716-20260904. Image/folder values are blank until the tester supplies the UAT folder URL.</w:t>
            </w:r>
          </w:p>
        </w:tc>
      </w:tr>
      <w:tr>
        <w:tc>
          <w:tcPr>
            <w:tcW w:type="dxa" w:w="1800"/>
            <w:shd w:fill="F8FAFC" w:val="clear"/>
          </w:tcPr>
          <w:p>
            <w:pPr>
              <w:spacing w:before="0" w:after="0" w:line="252" w:lineRule="auto"/>
            </w:pPr>
            <w:r>
              <w:rPr>
                <w:rFonts w:ascii="Calibri" w:hAnsi="Calibri"/>
                <w:b w:val="0"/>
                <w:color w:val="222222"/>
                <w:sz w:val="19"/>
              </w:rPr>
              <w:t>RMA</w:t>
            </w:r>
          </w:p>
        </w:tc>
        <w:tc>
          <w:tcPr>
            <w:tcW w:type="dxa" w:w="2100"/>
            <w:shd w:fill="F8FAFC" w:val="clear"/>
          </w:tcPr>
          <w:p>
            <w:pPr>
              <w:spacing w:before="0" w:after="0" w:line="252" w:lineRule="auto"/>
            </w:pPr>
            <w:hyperlink r:id="rId12">
              <w:r>
                <w:rPr>
                  <w:rFonts w:ascii="Calibri" w:hAnsi="Calibri"/>
                  <w:color w:val="2E74B5"/>
                  <w:u w:val="single"/>
                  <w:sz w:val="19"/>
                </w:rPr>
                <w:t>A-218876</w:t>
              </w:r>
            </w:hyperlink>
          </w:p>
        </w:tc>
        <w:tc>
          <w:tcPr>
            <w:tcW w:type="dxa" w:w="5460"/>
            <w:shd w:fill="F8FAFC" w:val="clear"/>
          </w:tcPr>
          <w:p>
            <w:pPr>
              <w:spacing w:before="0" w:after="0" w:line="252" w:lineRule="auto"/>
            </w:pPr>
            <w:r>
              <w:rPr>
                <w:rFonts w:ascii="Calibri" w:hAnsi="Calibri"/>
                <w:b w:val="0"/>
                <w:color w:val="222222"/>
                <w:sz w:val="19"/>
              </w:rPr>
              <w:t>Linked to Product Item 552082; tagged UAT-00010716-20260904; Customer Repair Evaluation record type; Depot Repair enabled.</w:t>
            </w:r>
          </w:p>
        </w:tc>
      </w:tr>
      <w:tr>
        <w:tc>
          <w:tcPr>
            <w:tcW w:type="dxa" w:w="1800"/>
          </w:tcPr>
          <w:p>
            <w:pPr>
              <w:spacing w:before="0" w:after="0" w:line="252" w:lineRule="auto"/>
            </w:pPr>
            <w:r>
              <w:rPr>
                <w:rFonts w:ascii="Calibri" w:hAnsi="Calibri"/>
                <w:b w:val="0"/>
                <w:color w:val="222222"/>
                <w:sz w:val="19"/>
              </w:rPr>
              <w:t>Primary Evaluation</w:t>
            </w:r>
          </w:p>
        </w:tc>
        <w:tc>
          <w:tcPr>
            <w:tcW w:type="dxa" w:w="2100"/>
          </w:tcPr>
          <w:p>
            <w:pPr>
              <w:spacing w:before="0" w:after="0" w:line="252" w:lineRule="auto"/>
            </w:pPr>
            <w:hyperlink r:id="rId13">
              <w:r>
                <w:rPr>
                  <w:rFonts w:ascii="Calibri" w:hAnsi="Calibri"/>
                  <w:color w:val="2E74B5"/>
                  <w:u w:val="single"/>
                  <w:sz w:val="19"/>
                </w:rPr>
                <w:t>E-2026-036025</w:t>
              </w:r>
            </w:hyperlink>
          </w:p>
        </w:tc>
        <w:tc>
          <w:tcPr>
            <w:tcW w:type="dxa" w:w="5460"/>
          </w:tcPr>
          <w:p>
            <w:pPr>
              <w:spacing w:before="0" w:after="0" w:line="252" w:lineRule="auto"/>
            </w:pPr>
            <w:r>
              <w:rPr>
                <w:rFonts w:ascii="Calibri" w:hAnsi="Calibri"/>
                <w:b w:val="0"/>
                <w:color w:val="222222"/>
                <w:sz w:val="19"/>
              </w:rPr>
              <w:t>This is Evaluation A and must receive the imported image references.</w:t>
            </w:r>
          </w:p>
        </w:tc>
      </w:tr>
      <w:tr>
        <w:tc>
          <w:tcPr>
            <w:tcW w:type="dxa" w:w="1800"/>
            <w:shd w:fill="F8FAFC" w:val="clear"/>
          </w:tcPr>
          <w:p>
            <w:pPr>
              <w:spacing w:before="0" w:after="0" w:line="252" w:lineRule="auto"/>
            </w:pPr>
            <w:r>
              <w:rPr>
                <w:rFonts w:ascii="Calibri" w:hAnsi="Calibri"/>
                <w:b w:val="0"/>
                <w:color w:val="222222"/>
                <w:sz w:val="19"/>
              </w:rPr>
              <w:t>Control Evaluation</w:t>
            </w:r>
          </w:p>
        </w:tc>
        <w:tc>
          <w:tcPr>
            <w:tcW w:type="dxa" w:w="2100"/>
            <w:shd w:fill="F8FAFC" w:val="clear"/>
          </w:tcPr>
          <w:p>
            <w:pPr>
              <w:spacing w:before="0" w:after="0" w:line="252" w:lineRule="auto"/>
            </w:pPr>
            <w:hyperlink r:id="rId14">
              <w:r>
                <w:rPr>
                  <w:rFonts w:ascii="Calibri" w:hAnsi="Calibri"/>
                  <w:color w:val="2E74B5"/>
                  <w:u w:val="single"/>
                  <w:sz w:val="19"/>
                </w:rPr>
                <w:t>E-2026-036026</w:t>
              </w:r>
            </w:hyperlink>
          </w:p>
        </w:tc>
        <w:tc>
          <w:tcPr>
            <w:tcW w:type="dxa" w:w="5460"/>
            <w:shd w:fill="F8FAFC" w:val="clear"/>
          </w:tcPr>
          <w:p>
            <w:pPr>
              <w:spacing w:before="0" w:after="0" w:line="252" w:lineRule="auto"/>
            </w:pPr>
            <w:r>
              <w:rPr>
                <w:rFonts w:ascii="Calibri" w:hAnsi="Calibri"/>
                <w:b w:val="0"/>
                <w:color w:val="222222"/>
                <w:sz w:val="19"/>
              </w:rPr>
              <w:t>This is Evaluation B and must remain unchanged after the import.</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1665"/>
        <w:gridCol w:w="1665"/>
        <w:gridCol w:w="1665"/>
        <w:gridCol w:w="1665"/>
      </w:tblGrid>
      <w:tr>
        <w:trPr>
          <w:tblHeader w:val="true"/>
        </w:trPr>
        <w:tc>
          <w:tcPr>
            <w:tcW w:type="dxa" w:w="2700"/>
            <w:vAlign w:val="center"/>
            <w:tcMar>
              <w:top w:w="80" w:type="dxa"/>
              <w:start w:w="120" w:type="dxa"/>
              <w:bottom w:w="80" w:type="dxa"/>
              <w:end w:w="120" w:type="dxa"/>
            </w:tcMar>
            <w:shd w:fill="F2F4F7" w:val="clear"/>
          </w:tcPr>
          <w:p>
            <w:pPr>
              <w:spacing w:before="0" w:after="0"/>
            </w:pPr>
            <w:r>
              <w:rPr>
                <w:rFonts w:ascii="Calibri" w:hAnsi="Calibri"/>
                <w:b/>
                <w:color w:val="0B2545"/>
                <w:sz w:val="19"/>
              </w:rPr>
              <w:t>Evaluation</w:t>
            </w:r>
          </w:p>
        </w:tc>
        <w:tc>
          <w:tcPr>
            <w:tcW w:type="dxa" w:w="1665"/>
            <w:vAlign w:val="center"/>
            <w:tcMar>
              <w:top w:w="80" w:type="dxa"/>
              <w:start w:w="120" w:type="dxa"/>
              <w:bottom w:w="80" w:type="dxa"/>
              <w:end w:w="120" w:type="dxa"/>
            </w:tcMar>
            <w:shd w:fill="F2F4F7" w:val="clear"/>
          </w:tcPr>
          <w:p>
            <w:pPr>
              <w:spacing w:before="0" w:after="0"/>
            </w:pPr>
            <w:r>
              <w:rPr>
                <w:rFonts w:ascii="Calibri" w:hAnsi="Calibri"/>
                <w:b/>
                <w:color w:val="0B2545"/>
                <w:sz w:val="19"/>
              </w:rPr>
              <w:t>Lens ID</w:t>
            </w:r>
          </w:p>
        </w:tc>
        <w:tc>
          <w:tcPr>
            <w:tcW w:type="dxa" w:w="1665"/>
            <w:vAlign w:val="center"/>
            <w:tcMar>
              <w:top w:w="80" w:type="dxa"/>
              <w:start w:w="120" w:type="dxa"/>
              <w:bottom w:w="80" w:type="dxa"/>
              <w:end w:w="120" w:type="dxa"/>
            </w:tcMar>
            <w:shd w:fill="F2F4F7" w:val="clear"/>
          </w:tcPr>
          <w:p>
            <w:pPr>
              <w:spacing w:before="0" w:after="0"/>
            </w:pPr>
            <w:r>
              <w:rPr>
                <w:rFonts w:ascii="Calibri" w:hAnsi="Calibri"/>
                <w:b/>
                <w:color w:val="0B2545"/>
                <w:sz w:val="19"/>
              </w:rPr>
              <w:t>Whole ID</w:t>
            </w:r>
          </w:p>
        </w:tc>
        <w:tc>
          <w:tcPr>
            <w:tcW w:type="dxa" w:w="1665"/>
            <w:vAlign w:val="center"/>
            <w:tcMar>
              <w:top w:w="80" w:type="dxa"/>
              <w:start w:w="120" w:type="dxa"/>
              <w:bottom w:w="80" w:type="dxa"/>
              <w:end w:w="120" w:type="dxa"/>
            </w:tcMar>
            <w:shd w:fill="F2F4F7" w:val="clear"/>
          </w:tcPr>
          <w:p>
            <w:pPr>
              <w:spacing w:before="0" w:after="0"/>
            </w:pPr>
            <w:r>
              <w:rPr>
                <w:rFonts w:ascii="Calibri" w:hAnsi="Calibri"/>
                <w:b/>
                <w:color w:val="0B2545"/>
                <w:sz w:val="19"/>
              </w:rPr>
              <w:t>SN ID</w:t>
            </w:r>
          </w:p>
        </w:tc>
        <w:tc>
          <w:tcPr>
            <w:tcW w:type="dxa" w:w="1665"/>
            <w:vAlign w:val="center"/>
            <w:tcMar>
              <w:top w:w="80" w:type="dxa"/>
              <w:start w:w="120" w:type="dxa"/>
              <w:bottom w:w="80" w:type="dxa"/>
              <w:end w:w="120" w:type="dxa"/>
            </w:tcMar>
            <w:shd w:fill="F2F4F7" w:val="clear"/>
          </w:tcPr>
          <w:p>
            <w:pPr>
              <w:spacing w:before="0" w:after="0"/>
            </w:pPr>
            <w:r>
              <w:rPr>
                <w:rFonts w:ascii="Calibri" w:hAnsi="Calibri"/>
                <w:b/>
                <w:color w:val="0B2545"/>
                <w:sz w:val="19"/>
              </w:rPr>
              <w:t>Folder ID</w:t>
            </w:r>
          </w:p>
        </w:tc>
      </w:tr>
      <w:tr>
        <w:tc>
          <w:tcPr>
            <w:tcW w:type="dxa" w:w="2700"/>
          </w:tcPr>
          <w:p>
            <w:pPr>
              <w:spacing w:before="0" w:after="0" w:line="252" w:lineRule="auto"/>
            </w:pPr>
            <w:r>
              <w:rPr>
                <w:rFonts w:ascii="Calibri" w:hAnsi="Calibri"/>
                <w:b w:val="0"/>
                <w:color w:val="222222"/>
                <w:sz w:val="19"/>
              </w:rPr>
              <w:t>E-2026-036025 - Primary</w:t>
            </w:r>
          </w:p>
        </w:tc>
        <w:tc>
          <w:tcPr>
            <w:tcW w:type="dxa" w:w="1665"/>
          </w:tcPr>
          <w:p>
            <w:pPr>
              <w:spacing w:before="0" w:after="0" w:line="252" w:lineRule="auto"/>
            </w:pPr>
            <w:r>
              <w:rPr>
                <w:rFonts w:ascii="Calibri" w:hAnsi="Calibri"/>
                <w:b w:val="0"/>
                <w:color w:val="222222"/>
                <w:sz w:val="19"/>
              </w:rPr>
              <w:t>Blank</w:t>
            </w:r>
          </w:p>
        </w:tc>
        <w:tc>
          <w:tcPr>
            <w:tcW w:type="dxa" w:w="1665"/>
          </w:tcPr>
          <w:p>
            <w:pPr>
              <w:spacing w:before="0" w:after="0" w:line="252" w:lineRule="auto"/>
            </w:pPr>
            <w:r>
              <w:rPr>
                <w:rFonts w:ascii="Calibri" w:hAnsi="Calibri"/>
                <w:b w:val="0"/>
                <w:color w:val="222222"/>
                <w:sz w:val="19"/>
              </w:rPr>
              <w:t>Blank</w:t>
            </w:r>
          </w:p>
        </w:tc>
        <w:tc>
          <w:tcPr>
            <w:tcW w:type="dxa" w:w="1665"/>
          </w:tcPr>
          <w:p>
            <w:pPr>
              <w:spacing w:before="0" w:after="0" w:line="252" w:lineRule="auto"/>
            </w:pPr>
            <w:r>
              <w:rPr>
                <w:rFonts w:ascii="Calibri" w:hAnsi="Calibri"/>
                <w:b w:val="0"/>
                <w:color w:val="222222"/>
                <w:sz w:val="19"/>
              </w:rPr>
              <w:t>Blank</w:t>
            </w:r>
          </w:p>
        </w:tc>
        <w:tc>
          <w:tcPr>
            <w:tcW w:type="dxa" w:w="1665"/>
          </w:tcPr>
          <w:p>
            <w:pPr>
              <w:spacing w:before="0" w:after="0" w:line="252" w:lineRule="auto"/>
            </w:pPr>
            <w:r>
              <w:rPr>
                <w:rFonts w:ascii="Calibri" w:hAnsi="Calibri"/>
                <w:b w:val="0"/>
                <w:color w:val="222222"/>
                <w:sz w:val="19"/>
              </w:rPr>
              <w:t>Blank</w:t>
            </w:r>
          </w:p>
        </w:tc>
      </w:tr>
      <w:tr>
        <w:tc>
          <w:tcPr>
            <w:tcW w:type="dxa" w:w="2700"/>
            <w:shd w:fill="F8FAFC" w:val="clear"/>
          </w:tcPr>
          <w:p>
            <w:pPr>
              <w:spacing w:before="0" w:after="0" w:line="252" w:lineRule="auto"/>
            </w:pPr>
            <w:r>
              <w:rPr>
                <w:rFonts w:ascii="Calibri" w:hAnsi="Calibri"/>
                <w:b w:val="0"/>
                <w:color w:val="222222"/>
                <w:sz w:val="19"/>
              </w:rPr>
              <w:t>E-2026-036026 - Control</w:t>
            </w:r>
          </w:p>
        </w:tc>
        <w:tc>
          <w:tcPr>
            <w:tcW w:type="dxa" w:w="1665"/>
            <w:shd w:fill="F8FAFC" w:val="clear"/>
          </w:tcPr>
          <w:p>
            <w:pPr>
              <w:spacing w:before="0" w:after="0" w:line="252" w:lineRule="auto"/>
            </w:pPr>
            <w:r>
              <w:rPr>
                <w:rFonts w:ascii="Calibri" w:hAnsi="Calibri"/>
                <w:b w:val="0"/>
                <w:color w:val="222222"/>
                <w:sz w:val="19"/>
              </w:rPr>
              <w:t>Blank</w:t>
            </w:r>
          </w:p>
        </w:tc>
        <w:tc>
          <w:tcPr>
            <w:tcW w:type="dxa" w:w="1665"/>
            <w:shd w:fill="F8FAFC" w:val="clear"/>
          </w:tcPr>
          <w:p>
            <w:pPr>
              <w:spacing w:before="0" w:after="0" w:line="252" w:lineRule="auto"/>
            </w:pPr>
            <w:r>
              <w:rPr>
                <w:rFonts w:ascii="Calibri" w:hAnsi="Calibri"/>
                <w:b w:val="0"/>
                <w:color w:val="222222"/>
                <w:sz w:val="19"/>
              </w:rPr>
              <w:t>Blank</w:t>
            </w:r>
          </w:p>
        </w:tc>
        <w:tc>
          <w:tcPr>
            <w:tcW w:type="dxa" w:w="1665"/>
            <w:shd w:fill="F8FAFC" w:val="clear"/>
          </w:tcPr>
          <w:p>
            <w:pPr>
              <w:spacing w:before="0" w:after="0" w:line="252" w:lineRule="auto"/>
            </w:pPr>
            <w:r>
              <w:rPr>
                <w:rFonts w:ascii="Calibri" w:hAnsi="Calibri"/>
                <w:b w:val="0"/>
                <w:color w:val="222222"/>
                <w:sz w:val="19"/>
              </w:rPr>
              <w:t>Blank</w:t>
            </w:r>
          </w:p>
        </w:tc>
        <w:tc>
          <w:tcPr>
            <w:tcW w:type="dxa" w:w="1665"/>
            <w:shd w:fill="F8FAFC" w:val="clear"/>
          </w:tcPr>
          <w:p>
            <w:pPr>
              <w:spacing w:before="0" w:after="0" w:line="252" w:lineRule="auto"/>
            </w:pPr>
            <w:r>
              <w:rPr>
                <w:rFonts w:ascii="Calibri" w:hAnsi="Calibri"/>
                <w:b w:val="0"/>
                <w:color w:val="222222"/>
                <w:sz w:val="19"/>
              </w:rPr>
              <w:t>Blank</w:t>
            </w:r>
          </w:p>
        </w:tc>
      </w:tr>
    </w:tbl>
    <w:p>
      <w:pPr>
        <w:spacing w:after="0"/>
      </w:pPr>
    </w:p>
    <w:p>
      <w:pPr>
        <w:keepLines/>
      </w:pPr>
      <w:r>
        <w:rPr>
          <w:rFonts w:ascii="Calibri" w:hAnsi="Calibri"/>
          <w:b/>
          <w:color w:val="0B2545"/>
        </w:rPr>
        <w:t xml:space="preserve">Authentication page: </w:t>
      </w:r>
      <w:hyperlink r:id="rId15">
        <w:r>
          <w:rPr>
            <w:rFonts w:ascii="Calibri" w:hAnsi="Calibri"/>
            <w:color w:val="2E74B5"/>
            <w:u w:val="single"/>
            <w:sz w:val="19"/>
          </w:rPr>
          <w:t>Open the UAT authentication page for E-2026-036025</w:t>
        </w:r>
      </w:hyperlink>
    </w:p>
    <w:p>
      <w:pPr>
        <w:spacing w:before="160" w:after="200" w:line="264" w:lineRule="auto"/>
        <w:ind w:left="173" w:right="72"/>
        <w:shd w:fill="F4F6F9"/>
        <w:pBdr>
          <w:left w:val="single" w:sz="18" w:space="8" w:color="7A5A00"/>
        </w:pBdr>
      </w:pPr>
      <w:r>
        <w:rPr>
          <w:rFonts w:ascii="Calibri" w:hAnsi="Calibri"/>
          <w:b/>
          <w:color w:val="7A5A00"/>
          <w:sz w:val="21"/>
        </w:rPr>
        <w:t xml:space="preserve">Do not substitute records: </w:t>
      </w:r>
      <w:r>
        <w:rPr>
          <w:rFonts w:ascii="Calibri" w:hAnsi="Calibri"/>
          <w:color w:val="222222"/>
          <w:sz w:val="21"/>
        </w:rPr>
        <w:t>Use the named primary and control Evaluations unless the Salesforce owner approves new dedicated UAT records and records their IDs in the execution log.</w:t>
      </w:r>
    </w:p>
    <w:p>
      <w:pPr>
        <w:pStyle w:val="Heading1"/>
      </w:pPr>
      <w:r>
        <w:t>5. Manual UAT Preconditions</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tblHeader w:val="true"/>
        </w:trPr>
        <w:tc>
          <w:tcPr>
            <w:tcW w:type="dxa" w:w="2700"/>
            <w:vAlign w:val="center"/>
            <w:tcMar>
              <w:top w:w="80" w:type="dxa"/>
              <w:start w:w="120" w:type="dxa"/>
              <w:bottom w:w="80" w:type="dxa"/>
              <w:end w:w="120" w:type="dxa"/>
            </w:tcMar>
            <w:shd w:fill="F2F4F7" w:val="clear"/>
          </w:tcPr>
          <w:p>
            <w:pPr>
              <w:spacing w:before="0" w:after="0"/>
            </w:pPr>
            <w:r>
              <w:rPr>
                <w:rFonts w:ascii="Calibri" w:hAnsi="Calibri"/>
                <w:b/>
                <w:color w:val="0B2545"/>
                <w:sz w:val="19"/>
              </w:rPr>
              <w:t>Requirement</w:t>
            </w:r>
          </w:p>
        </w:tc>
        <w:tc>
          <w:tcPr>
            <w:tcW w:type="dxa" w:w="6660"/>
            <w:vAlign w:val="center"/>
            <w:tcMar>
              <w:top w:w="80" w:type="dxa"/>
              <w:start w:w="120" w:type="dxa"/>
              <w:bottom w:w="80" w:type="dxa"/>
              <w:end w:w="120" w:type="dxa"/>
            </w:tcMar>
            <w:shd w:fill="F2F4F7" w:val="clear"/>
          </w:tcPr>
          <w:p>
            <w:pPr>
              <w:spacing w:before="0" w:after="0"/>
            </w:pPr>
            <w:r>
              <w:rPr>
                <w:rFonts w:ascii="Calibri" w:hAnsi="Calibri"/>
                <w:b/>
                <w:color w:val="0B2545"/>
                <w:sz w:val="19"/>
              </w:rPr>
              <w:t>Expected setup</w:t>
            </w:r>
          </w:p>
        </w:tc>
      </w:tr>
      <w:tr>
        <w:tc>
          <w:tcPr>
            <w:tcW w:type="dxa" w:w="2700"/>
          </w:tcPr>
          <w:p>
            <w:pPr>
              <w:spacing w:before="0" w:after="0" w:line="252" w:lineRule="auto"/>
            </w:pPr>
            <w:r>
              <w:rPr>
                <w:rFonts w:ascii="Calibri" w:hAnsi="Calibri"/>
                <w:b w:val="0"/>
                <w:color w:val="222222"/>
                <w:sz w:val="19"/>
              </w:rPr>
              <w:t>Google Drive folder</w:t>
            </w:r>
          </w:p>
        </w:tc>
        <w:tc>
          <w:tcPr>
            <w:tcW w:type="dxa" w:w="6660"/>
          </w:tcPr>
          <w:p>
            <w:pPr>
              <w:spacing w:before="0" w:after="0" w:line="252" w:lineRule="auto"/>
            </w:pPr>
            <w:r>
              <w:rPr>
                <w:rFonts w:ascii="Calibri" w:hAnsi="Calibri"/>
                <w:b w:val="0"/>
                <w:color w:val="222222"/>
                <w:sz w:val="19"/>
              </w:rPr>
              <w:t>A dedicated UAT folder URL that is accessible to the approved Google account.</w:t>
            </w:r>
          </w:p>
        </w:tc>
      </w:tr>
      <w:tr>
        <w:tc>
          <w:tcPr>
            <w:tcW w:type="dxa" w:w="2700"/>
            <w:shd w:fill="F8FAFC" w:val="clear"/>
          </w:tcPr>
          <w:p>
            <w:pPr>
              <w:spacing w:before="0" w:after="0" w:line="252" w:lineRule="auto"/>
            </w:pPr>
            <w:r>
              <w:rPr>
                <w:rFonts w:ascii="Calibri" w:hAnsi="Calibri"/>
                <w:b w:val="0"/>
                <w:color w:val="222222"/>
                <w:sz w:val="19"/>
              </w:rPr>
              <w:t>Recognizable files</w:t>
            </w:r>
          </w:p>
        </w:tc>
        <w:tc>
          <w:tcPr>
            <w:tcW w:type="dxa" w:w="6660"/>
            <w:shd w:fill="F8FAFC" w:val="clear"/>
          </w:tcPr>
          <w:p>
            <w:pPr>
              <w:spacing w:before="0" w:after="0" w:line="252" w:lineRule="auto"/>
            </w:pPr>
            <w:r>
              <w:rPr>
                <w:rFonts w:ascii="Calibri" w:hAnsi="Calibri"/>
                <w:b w:val="0"/>
                <w:color w:val="222222"/>
                <w:sz w:val="19"/>
              </w:rPr>
              <w:t>C-Lens.jpg, C-Cap.jpg, C-Whole.jpg, and C-SN.jpg. Additional test images may be included if their names follow the existing process.</w:t>
            </w:r>
          </w:p>
        </w:tc>
      </w:tr>
      <w:tr>
        <w:tc>
          <w:tcPr>
            <w:tcW w:type="dxa" w:w="2700"/>
          </w:tcPr>
          <w:p>
            <w:pPr>
              <w:spacing w:before="0" w:after="0" w:line="252" w:lineRule="auto"/>
            </w:pPr>
            <w:r>
              <w:rPr>
                <w:rFonts w:ascii="Calibri" w:hAnsi="Calibri"/>
                <w:b w:val="0"/>
                <w:color w:val="222222"/>
                <w:sz w:val="19"/>
              </w:rPr>
              <w:t>Salesforce access</w:t>
            </w:r>
          </w:p>
        </w:tc>
        <w:tc>
          <w:tcPr>
            <w:tcW w:type="dxa" w:w="6660"/>
          </w:tcPr>
          <w:p>
            <w:pPr>
              <w:spacing w:before="0" w:after="0" w:line="252" w:lineRule="auto"/>
            </w:pPr>
            <w:r>
              <w:rPr>
                <w:rFonts w:ascii="Calibri" w:hAnsi="Calibri"/>
                <w:b w:val="0"/>
                <w:color w:val="222222"/>
                <w:sz w:val="19"/>
              </w:rPr>
              <w:t>An authorized UAT user who can edit Product Item 552082 and view/edit the primary Evaluation.</w:t>
            </w:r>
          </w:p>
        </w:tc>
      </w:tr>
      <w:tr>
        <w:tc>
          <w:tcPr>
            <w:tcW w:type="dxa" w:w="2700"/>
            <w:shd w:fill="F8FAFC" w:val="clear"/>
          </w:tcPr>
          <w:p>
            <w:pPr>
              <w:spacing w:before="0" w:after="0" w:line="252" w:lineRule="auto"/>
            </w:pPr>
            <w:r>
              <w:rPr>
                <w:rFonts w:ascii="Calibri" w:hAnsi="Calibri"/>
                <w:b w:val="0"/>
                <w:color w:val="222222"/>
                <w:sz w:val="19"/>
              </w:rPr>
              <w:t>Browser</w:t>
            </w:r>
          </w:p>
        </w:tc>
        <w:tc>
          <w:tcPr>
            <w:tcW w:type="dxa" w:w="6660"/>
            <w:shd w:fill="F8FAFC" w:val="clear"/>
          </w:tcPr>
          <w:p>
            <w:pPr>
              <w:spacing w:before="0" w:after="0" w:line="252" w:lineRule="auto"/>
            </w:pPr>
            <w:r>
              <w:rPr>
                <w:rFonts w:ascii="Calibri" w:hAnsi="Calibri"/>
                <w:b w:val="0"/>
                <w:color w:val="222222"/>
                <w:sz w:val="19"/>
              </w:rPr>
              <w:t>Use a normal UAT browser session that can complete the Google sign-in and return to Salesforce.</w:t>
            </w:r>
          </w:p>
        </w:tc>
      </w:tr>
      <w:tr>
        <w:tc>
          <w:tcPr>
            <w:tcW w:type="dxa" w:w="2700"/>
          </w:tcPr>
          <w:p>
            <w:pPr>
              <w:spacing w:before="0" w:after="0" w:line="252" w:lineRule="auto"/>
            </w:pPr>
            <w:r>
              <w:rPr>
                <w:rFonts w:ascii="Calibri" w:hAnsi="Calibri"/>
                <w:b w:val="0"/>
                <w:color w:val="222222"/>
                <w:sz w:val="19"/>
              </w:rPr>
              <w:t>Baseline</w:t>
            </w:r>
          </w:p>
        </w:tc>
        <w:tc>
          <w:tcPr>
            <w:tcW w:type="dxa" w:w="6660"/>
          </w:tcPr>
          <w:p>
            <w:pPr>
              <w:spacing w:before="0" w:after="0" w:line="252" w:lineRule="auto"/>
            </w:pPr>
            <w:r>
              <w:rPr>
                <w:rFonts w:ascii="Calibri" w:hAnsi="Calibri"/>
                <w:b w:val="0"/>
                <w:color w:val="222222"/>
                <w:sz w:val="19"/>
              </w:rPr>
              <w:t>Confirm both Evaluations have blank test image-reference fields before starting.</w:t>
            </w:r>
          </w:p>
        </w:tc>
      </w:tr>
    </w:tbl>
    <w:p>
      <w:pPr>
        <w:spacing w:after="0"/>
      </w:pPr>
    </w:p>
    <w:p>
      <w:pPr>
        <w:spacing w:after="0"/>
      </w:pPr>
      <w:r>
        <w:br w:type="page"/>
      </w:r>
    </w:p>
    <w:p>
      <w:pPr>
        <w:pStyle w:val="Heading1"/>
      </w:pPr>
      <w:r>
        <w:t>6. Manual UAT Procedure</w:t>
      </w:r>
    </w:p>
    <w:p>
      <w:pPr>
        <w:spacing w:before="160" w:after="200" w:line="264" w:lineRule="auto"/>
        <w:ind w:left="173" w:right="72"/>
        <w:shd w:fill="F4F6F9"/>
        <w:pBdr>
          <w:left w:val="single" w:sz="18" w:space="8" w:color="2E74B5"/>
        </w:pBdr>
      </w:pPr>
      <w:r>
        <w:rPr>
          <w:rFonts w:ascii="Calibri" w:hAnsi="Calibri"/>
          <w:b/>
          <w:color w:val="2E74B5"/>
          <w:sz w:val="21"/>
        </w:rPr>
        <w:t xml:space="preserve">Execution boundary: </w:t>
      </w:r>
      <w:r>
        <w:rPr>
          <w:rFonts w:ascii="Calibri" w:hAnsi="Calibri"/>
          <w:color w:val="222222"/>
          <w:sz w:val="21"/>
        </w:rPr>
        <w:t>Run this procedure only in Probo Medical UAT using the dedicated records. This is a data-level functional test; it does not require another deployment.</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650"/>
        <w:gridCol w:w="5040"/>
        <w:gridCol w:w="3670"/>
      </w:tblGrid>
      <w:tr>
        <w:trPr>
          <w:tblHeader w:val="true"/>
        </w:trPr>
        <w:tc>
          <w:tcPr>
            <w:tcW w:type="dxa" w:w="650"/>
            <w:vAlign w:val="center"/>
            <w:tcMar>
              <w:top w:w="80" w:type="dxa"/>
              <w:start w:w="120" w:type="dxa"/>
              <w:bottom w:w="80" w:type="dxa"/>
              <w:end w:w="120" w:type="dxa"/>
            </w:tcMar>
            <w:shd w:fill="F2F4F7" w:val="clear"/>
          </w:tcPr>
          <w:p>
            <w:pPr>
              <w:spacing w:before="0" w:after="0"/>
            </w:pPr>
            <w:r>
              <w:rPr>
                <w:rFonts w:ascii="Calibri" w:hAnsi="Calibri"/>
                <w:b/>
                <w:color w:val="0B2545"/>
                <w:sz w:val="19"/>
              </w:rPr>
              <w:t>Step</w:t>
            </w:r>
          </w:p>
        </w:tc>
        <w:tc>
          <w:tcPr>
            <w:tcW w:type="dxa" w:w="5040"/>
            <w:vAlign w:val="center"/>
            <w:tcMar>
              <w:top w:w="80" w:type="dxa"/>
              <w:start w:w="120" w:type="dxa"/>
              <w:bottom w:w="80" w:type="dxa"/>
              <w:end w:w="120" w:type="dxa"/>
            </w:tcMar>
            <w:shd w:fill="F2F4F7" w:val="clear"/>
          </w:tcPr>
          <w:p>
            <w:pPr>
              <w:spacing w:before="0" w:after="0"/>
            </w:pPr>
            <w:r>
              <w:rPr>
                <w:rFonts w:ascii="Calibri" w:hAnsi="Calibri"/>
                <w:b/>
                <w:color w:val="0B2545"/>
                <w:sz w:val="19"/>
              </w:rPr>
              <w:t>Tester action</w:t>
            </w:r>
          </w:p>
        </w:tc>
        <w:tc>
          <w:tcPr>
            <w:tcW w:type="dxa" w:w="3670"/>
            <w:vAlign w:val="center"/>
            <w:tcMar>
              <w:top w:w="80" w:type="dxa"/>
              <w:start w:w="120" w:type="dxa"/>
              <w:bottom w:w="80" w:type="dxa"/>
              <w:end w:w="120" w:type="dxa"/>
            </w:tcMar>
            <w:shd w:fill="F2F4F7" w:val="clear"/>
          </w:tcPr>
          <w:p>
            <w:pPr>
              <w:spacing w:before="0" w:after="0"/>
            </w:pPr>
            <w:r>
              <w:rPr>
                <w:rFonts w:ascii="Calibri" w:hAnsi="Calibri"/>
                <w:b/>
                <w:color w:val="0B2545"/>
                <w:sz w:val="19"/>
              </w:rPr>
              <w:t>Expected result / evidence</w:t>
            </w:r>
          </w:p>
        </w:tc>
      </w:tr>
      <w:tr>
        <w:tc>
          <w:tcPr>
            <w:tcW w:type="dxa" w:w="650"/>
          </w:tcPr>
          <w:p>
            <w:pPr>
              <w:spacing w:before="0" w:after="0" w:line="252" w:lineRule="auto"/>
            </w:pPr>
            <w:r>
              <w:rPr>
                <w:rFonts w:ascii="Calibri" w:hAnsi="Calibri"/>
                <w:b w:val="0"/>
                <w:color w:val="222222"/>
                <w:sz w:val="19"/>
              </w:rPr>
              <w:t>1</w:t>
            </w:r>
          </w:p>
        </w:tc>
        <w:tc>
          <w:tcPr>
            <w:tcW w:type="dxa" w:w="5040"/>
          </w:tcPr>
          <w:p>
            <w:pPr>
              <w:spacing w:before="0" w:after="0" w:line="252" w:lineRule="auto"/>
            </w:pPr>
            <w:hyperlink r:id="rId11">
              <w:r>
                <w:rPr>
                  <w:rFonts w:ascii="Calibri" w:hAnsi="Calibri"/>
                  <w:color w:val="2E74B5"/>
                  <w:u w:val="single"/>
                  <w:sz w:val="19"/>
                </w:rPr>
                <w:t>Open Product Item 552082</w:t>
              </w:r>
            </w:hyperlink>
          </w:p>
        </w:tc>
        <w:tc>
          <w:tcPr>
            <w:tcW w:type="dxa" w:w="3670"/>
          </w:tcPr>
          <w:p>
            <w:pPr>
              <w:spacing w:before="0" w:after="0" w:line="252" w:lineRule="auto"/>
            </w:pPr>
            <w:r>
              <w:rPr>
                <w:rFonts w:ascii="Calibri" w:hAnsi="Calibri"/>
                <w:b w:val="0"/>
                <w:color w:val="222222"/>
                <w:sz w:val="19"/>
              </w:rPr>
              <w:t>The dedicated Product Item opens in UAT.</w:t>
            </w:r>
          </w:p>
        </w:tc>
      </w:tr>
      <w:tr>
        <w:tc>
          <w:tcPr>
            <w:tcW w:type="dxa" w:w="650"/>
            <w:shd w:fill="F8FAFC" w:val="clear"/>
          </w:tcPr>
          <w:p>
            <w:pPr>
              <w:spacing w:before="0" w:after="0" w:line="252" w:lineRule="auto"/>
            </w:pPr>
            <w:r>
              <w:rPr>
                <w:rFonts w:ascii="Calibri" w:hAnsi="Calibri"/>
                <w:b w:val="0"/>
                <w:color w:val="222222"/>
                <w:sz w:val="19"/>
              </w:rPr>
              <w:t>2</w:t>
            </w:r>
          </w:p>
        </w:tc>
        <w:tc>
          <w:tcPr>
            <w:tcW w:type="dxa" w:w="5040"/>
            <w:shd w:fill="F8FAFC" w:val="clear"/>
          </w:tcPr>
          <w:p>
            <w:pPr>
              <w:spacing w:before="0" w:after="0" w:line="252" w:lineRule="auto"/>
            </w:pPr>
            <w:r>
              <w:rPr>
                <w:rFonts w:ascii="Calibri" w:hAnsi="Calibri"/>
                <w:b w:val="0"/>
                <w:color w:val="222222"/>
                <w:sz w:val="19"/>
              </w:rPr>
              <w:t>Click Edit and enter the dedicated UAT Google Drive folder URL in the Image field used by this process. Save.</w:t>
            </w:r>
          </w:p>
        </w:tc>
        <w:tc>
          <w:tcPr>
            <w:tcW w:type="dxa" w:w="3670"/>
            <w:shd w:fill="F8FAFC" w:val="clear"/>
          </w:tcPr>
          <w:p>
            <w:pPr>
              <w:spacing w:before="0" w:after="0" w:line="252" w:lineRule="auto"/>
            </w:pPr>
            <w:r>
              <w:rPr>
                <w:rFonts w:ascii="Calibri" w:hAnsi="Calibri"/>
                <w:b w:val="0"/>
                <w:color w:val="222222"/>
                <w:sz w:val="19"/>
              </w:rPr>
              <w:t>The Product Item saves successfully and displays the test folder value.</w:t>
            </w:r>
          </w:p>
        </w:tc>
      </w:tr>
      <w:tr>
        <w:tc>
          <w:tcPr>
            <w:tcW w:type="dxa" w:w="650"/>
          </w:tcPr>
          <w:p>
            <w:pPr>
              <w:spacing w:before="0" w:after="0" w:line="252" w:lineRule="auto"/>
            </w:pPr>
            <w:r>
              <w:rPr>
                <w:rFonts w:ascii="Calibri" w:hAnsi="Calibri"/>
                <w:b w:val="0"/>
                <w:color w:val="222222"/>
                <w:sz w:val="19"/>
              </w:rPr>
              <w:t>3</w:t>
            </w:r>
          </w:p>
        </w:tc>
        <w:tc>
          <w:tcPr>
            <w:tcW w:type="dxa" w:w="5040"/>
          </w:tcPr>
          <w:p>
            <w:pPr>
              <w:spacing w:before="0" w:after="0" w:line="252" w:lineRule="auto"/>
            </w:pPr>
            <w:hyperlink r:id="rId13">
              <w:r>
                <w:rPr>
                  <w:rFonts w:ascii="Calibri" w:hAnsi="Calibri"/>
                  <w:color w:val="2E74B5"/>
                  <w:u w:val="single"/>
                  <w:sz w:val="19"/>
                </w:rPr>
                <w:t>Open primary Evaluation E-2026-036025</w:t>
              </w:r>
            </w:hyperlink>
          </w:p>
        </w:tc>
        <w:tc>
          <w:tcPr>
            <w:tcW w:type="dxa" w:w="3670"/>
          </w:tcPr>
          <w:p>
            <w:pPr>
              <w:spacing w:before="0" w:after="0" w:line="252" w:lineRule="auto"/>
            </w:pPr>
            <w:r>
              <w:rPr>
                <w:rFonts w:ascii="Calibri" w:hAnsi="Calibri"/>
                <w:b w:val="0"/>
                <w:color w:val="222222"/>
                <w:sz w:val="19"/>
              </w:rPr>
              <w:t>The primary Evaluation opens and is linked to RMA A-218876 / Product Item 552082.</w:t>
            </w:r>
          </w:p>
        </w:tc>
      </w:tr>
      <w:tr>
        <w:tc>
          <w:tcPr>
            <w:tcW w:type="dxa" w:w="650"/>
            <w:shd w:fill="F8FAFC" w:val="clear"/>
          </w:tcPr>
          <w:p>
            <w:pPr>
              <w:spacing w:before="0" w:after="0" w:line="252" w:lineRule="auto"/>
            </w:pPr>
            <w:r>
              <w:rPr>
                <w:rFonts w:ascii="Calibri" w:hAnsi="Calibri"/>
                <w:b w:val="0"/>
                <w:color w:val="222222"/>
                <w:sz w:val="19"/>
              </w:rPr>
              <w:t>4</w:t>
            </w:r>
          </w:p>
        </w:tc>
        <w:tc>
          <w:tcPr>
            <w:tcW w:type="dxa" w:w="5040"/>
            <w:shd w:fill="F8FAFC" w:val="clear"/>
          </w:tcPr>
          <w:p>
            <w:pPr>
              <w:spacing w:before="0" w:after="0" w:line="252" w:lineRule="auto"/>
            </w:pPr>
            <w:r>
              <w:rPr>
                <w:rFonts w:ascii="Calibri" w:hAnsi="Calibri"/>
                <w:b w:val="0"/>
                <w:color w:val="222222"/>
                <w:sz w:val="19"/>
              </w:rPr>
              <w:t>Record the current Lens ID, Whole ID, SN ID, and Folder ID values in the execution record. They should be blank at baseline.</w:t>
            </w:r>
          </w:p>
        </w:tc>
        <w:tc>
          <w:tcPr>
            <w:tcW w:type="dxa" w:w="3670"/>
            <w:shd w:fill="F8FAFC" w:val="clear"/>
          </w:tcPr>
          <w:p>
            <w:pPr>
              <w:spacing w:before="0" w:after="0" w:line="252" w:lineRule="auto"/>
            </w:pPr>
            <w:r>
              <w:rPr>
                <w:rFonts w:ascii="Calibri" w:hAnsi="Calibri"/>
                <w:b w:val="0"/>
                <w:color w:val="222222"/>
                <w:sz w:val="19"/>
              </w:rPr>
              <w:t>A before-test baseline is captured.</w:t>
            </w:r>
          </w:p>
        </w:tc>
      </w:tr>
      <w:tr>
        <w:tc>
          <w:tcPr>
            <w:tcW w:type="dxa" w:w="650"/>
          </w:tcPr>
          <w:p>
            <w:pPr>
              <w:spacing w:before="0" w:after="0" w:line="252" w:lineRule="auto"/>
            </w:pPr>
            <w:r>
              <w:rPr>
                <w:rFonts w:ascii="Calibri" w:hAnsi="Calibri"/>
                <w:b w:val="0"/>
                <w:color w:val="222222"/>
                <w:sz w:val="19"/>
              </w:rPr>
              <w:t>5</w:t>
            </w:r>
          </w:p>
        </w:tc>
        <w:tc>
          <w:tcPr>
            <w:tcW w:type="dxa" w:w="5040"/>
          </w:tcPr>
          <w:p>
            <w:pPr>
              <w:spacing w:before="0" w:after="0" w:line="252" w:lineRule="auto"/>
            </w:pPr>
            <w:hyperlink r:id="rId14">
              <w:r>
                <w:rPr>
                  <w:rFonts w:ascii="Calibri" w:hAnsi="Calibri"/>
                  <w:color w:val="2E74B5"/>
                  <w:u w:val="single"/>
                  <w:sz w:val="19"/>
                </w:rPr>
                <w:t>Open control Evaluation E-2026-036026</w:t>
              </w:r>
            </w:hyperlink>
          </w:p>
        </w:tc>
        <w:tc>
          <w:tcPr>
            <w:tcW w:type="dxa" w:w="3670"/>
          </w:tcPr>
          <w:p>
            <w:pPr>
              <w:spacing w:before="0" w:after="0" w:line="252" w:lineRule="auto"/>
            </w:pPr>
            <w:r>
              <w:rPr>
                <w:rFonts w:ascii="Calibri" w:hAnsi="Calibri"/>
                <w:b w:val="0"/>
                <w:color w:val="222222"/>
                <w:sz w:val="19"/>
              </w:rPr>
              <w:t>The control image-reference fields are blank. Do not edit this record.</w:t>
            </w:r>
          </w:p>
        </w:tc>
      </w:tr>
      <w:tr>
        <w:tc>
          <w:tcPr>
            <w:tcW w:type="dxa" w:w="650"/>
            <w:shd w:fill="F8FAFC" w:val="clear"/>
          </w:tcPr>
          <w:p>
            <w:pPr>
              <w:spacing w:before="0" w:after="0" w:line="252" w:lineRule="auto"/>
            </w:pPr>
            <w:r>
              <w:rPr>
                <w:rFonts w:ascii="Calibri" w:hAnsi="Calibri"/>
                <w:b w:val="0"/>
                <w:color w:val="222222"/>
                <w:sz w:val="19"/>
              </w:rPr>
              <w:t>6</w:t>
            </w:r>
          </w:p>
        </w:tc>
        <w:tc>
          <w:tcPr>
            <w:tcW w:type="dxa" w:w="5040"/>
            <w:shd w:fill="F8FAFC" w:val="clear"/>
          </w:tcPr>
          <w:p>
            <w:pPr>
              <w:spacing w:before="0" w:after="0" w:line="252" w:lineRule="auto"/>
            </w:pPr>
            <w:hyperlink r:id="rId15">
              <w:r>
                <w:rPr>
                  <w:rFonts w:ascii="Calibri" w:hAnsi="Calibri"/>
                  <w:color w:val="2E74B5"/>
                  <w:u w:val="single"/>
                  <w:sz w:val="19"/>
                </w:rPr>
                <w:t>Open the authentication page for the primary Evaluation</w:t>
              </w:r>
            </w:hyperlink>
          </w:p>
        </w:tc>
        <w:tc>
          <w:tcPr>
            <w:tcW w:type="dxa" w:w="3670"/>
            <w:shd w:fill="F8FAFC" w:val="clear"/>
          </w:tcPr>
          <w:p>
            <w:pPr>
              <w:spacing w:before="0" w:after="0" w:line="252" w:lineRule="auto"/>
            </w:pPr>
            <w:r>
              <w:rPr>
                <w:rFonts w:ascii="Calibri" w:hAnsi="Calibri"/>
                <w:b w:val="0"/>
                <w:color w:val="222222"/>
                <w:sz w:val="19"/>
              </w:rPr>
              <w:t>The page is scoped to primary Evaluation ID a1tjH0000003n98QAA.</w:t>
            </w:r>
          </w:p>
        </w:tc>
      </w:tr>
      <w:tr>
        <w:tc>
          <w:tcPr>
            <w:tcW w:type="dxa" w:w="650"/>
          </w:tcPr>
          <w:p>
            <w:pPr>
              <w:spacing w:before="0" w:after="0" w:line="252" w:lineRule="auto"/>
            </w:pPr>
            <w:r>
              <w:rPr>
                <w:rFonts w:ascii="Calibri" w:hAnsi="Calibri"/>
                <w:b w:val="0"/>
                <w:color w:val="222222"/>
                <w:sz w:val="19"/>
              </w:rPr>
              <w:t>7</w:t>
            </w:r>
          </w:p>
        </w:tc>
        <w:tc>
          <w:tcPr>
            <w:tcW w:type="dxa" w:w="5040"/>
          </w:tcPr>
          <w:p>
            <w:pPr>
              <w:spacing w:before="0" w:after="0" w:line="252" w:lineRule="auto"/>
            </w:pPr>
            <w:r>
              <w:rPr>
                <w:rFonts w:ascii="Calibri" w:hAnsi="Calibri"/>
                <w:b w:val="0"/>
                <w:color w:val="222222"/>
                <w:sz w:val="19"/>
              </w:rPr>
              <w:t>Click Authenticate and complete the Google sign-in with the approved account.</w:t>
            </w:r>
          </w:p>
        </w:tc>
        <w:tc>
          <w:tcPr>
            <w:tcW w:type="dxa" w:w="3670"/>
          </w:tcPr>
          <w:p>
            <w:pPr>
              <w:spacing w:before="0" w:after="0" w:line="252" w:lineRule="auto"/>
            </w:pPr>
            <w:r>
              <w:rPr>
                <w:rFonts w:ascii="Calibri" w:hAnsi="Calibri"/>
                <w:b w:val="0"/>
                <w:color w:val="222222"/>
                <w:sz w:val="19"/>
              </w:rPr>
              <w:t>Google returns the browser to the Salesforce UAT authentication page without a null-reference error.</w:t>
            </w:r>
          </w:p>
        </w:tc>
      </w:tr>
      <w:tr>
        <w:tc>
          <w:tcPr>
            <w:tcW w:type="dxa" w:w="650"/>
            <w:shd w:fill="F8FAFC" w:val="clear"/>
          </w:tcPr>
          <w:p>
            <w:pPr>
              <w:spacing w:before="0" w:after="0" w:line="252" w:lineRule="auto"/>
            </w:pPr>
            <w:r>
              <w:rPr>
                <w:rFonts w:ascii="Calibri" w:hAnsi="Calibri"/>
                <w:b w:val="0"/>
                <w:color w:val="222222"/>
                <w:sz w:val="19"/>
              </w:rPr>
              <w:t>8</w:t>
            </w:r>
          </w:p>
        </w:tc>
        <w:tc>
          <w:tcPr>
            <w:tcW w:type="dxa" w:w="5040"/>
            <w:shd w:fill="F8FAFC" w:val="clear"/>
          </w:tcPr>
          <w:p>
            <w:pPr>
              <w:spacing w:before="0" w:after="0" w:line="252" w:lineRule="auto"/>
            </w:pPr>
            <w:r>
              <w:rPr>
                <w:rFonts w:ascii="Calibri" w:hAnsi="Calibri"/>
                <w:b w:val="0"/>
                <w:color w:val="222222"/>
                <w:sz w:val="19"/>
              </w:rPr>
              <w:t>After returning to Salesforce, review the listed files and click Save.</w:t>
            </w:r>
          </w:p>
        </w:tc>
        <w:tc>
          <w:tcPr>
            <w:tcW w:type="dxa" w:w="3670"/>
            <w:shd w:fill="F8FAFC" w:val="clear"/>
          </w:tcPr>
          <w:p>
            <w:pPr>
              <w:spacing w:before="0" w:after="0" w:line="252" w:lineRule="auto"/>
            </w:pPr>
            <w:r>
              <w:rPr>
                <w:rFonts w:ascii="Calibri" w:hAnsi="Calibri"/>
                <w:b w:val="0"/>
                <w:color w:val="222222"/>
                <w:sz w:val="19"/>
              </w:rPr>
              <w:t>The save completes for the primary Evaluation.</w:t>
            </w:r>
          </w:p>
        </w:tc>
      </w:tr>
      <w:tr>
        <w:tc>
          <w:tcPr>
            <w:tcW w:type="dxa" w:w="650"/>
          </w:tcPr>
          <w:p>
            <w:pPr>
              <w:spacing w:before="0" w:after="0" w:line="252" w:lineRule="auto"/>
            </w:pPr>
            <w:r>
              <w:rPr>
                <w:rFonts w:ascii="Calibri" w:hAnsi="Calibri"/>
                <w:b w:val="0"/>
                <w:color w:val="222222"/>
                <w:sz w:val="19"/>
              </w:rPr>
              <w:t>9</w:t>
            </w:r>
          </w:p>
        </w:tc>
        <w:tc>
          <w:tcPr>
            <w:tcW w:type="dxa" w:w="5040"/>
          </w:tcPr>
          <w:p>
            <w:pPr>
              <w:spacing w:before="0" w:after="0" w:line="252" w:lineRule="auto"/>
            </w:pPr>
            <w:hyperlink r:id="rId13">
              <w:r>
                <w:rPr>
                  <w:rFonts w:ascii="Calibri" w:hAnsi="Calibri"/>
                  <w:color w:val="2E74B5"/>
                  <w:u w:val="single"/>
                  <w:sz w:val="19"/>
                </w:rPr>
                <w:t>Refresh primary Evaluation E-2026-036025</w:t>
              </w:r>
            </w:hyperlink>
          </w:p>
        </w:tc>
        <w:tc>
          <w:tcPr>
            <w:tcW w:type="dxa" w:w="3670"/>
          </w:tcPr>
          <w:p>
            <w:pPr>
              <w:spacing w:before="0" w:after="0" w:line="252" w:lineRule="auto"/>
            </w:pPr>
            <w:r>
              <w:rPr>
                <w:rFonts w:ascii="Calibri" w:hAnsi="Calibri"/>
                <w:b w:val="0"/>
                <w:color w:val="222222"/>
                <w:sz w:val="19"/>
              </w:rPr>
              <w:t>The expected image/reference fields are populated from the recognizable UAT files.</w:t>
            </w:r>
          </w:p>
        </w:tc>
      </w:tr>
      <w:tr>
        <w:tc>
          <w:tcPr>
            <w:tcW w:type="dxa" w:w="650"/>
            <w:shd w:fill="F8FAFC" w:val="clear"/>
          </w:tcPr>
          <w:p>
            <w:pPr>
              <w:spacing w:before="0" w:after="0" w:line="252" w:lineRule="auto"/>
            </w:pPr>
            <w:r>
              <w:rPr>
                <w:rFonts w:ascii="Calibri" w:hAnsi="Calibri"/>
                <w:b w:val="0"/>
                <w:color w:val="222222"/>
                <w:sz w:val="19"/>
              </w:rPr>
              <w:t>10</w:t>
            </w:r>
          </w:p>
        </w:tc>
        <w:tc>
          <w:tcPr>
            <w:tcW w:type="dxa" w:w="5040"/>
            <w:shd w:fill="F8FAFC" w:val="clear"/>
          </w:tcPr>
          <w:p>
            <w:pPr>
              <w:spacing w:before="0" w:after="0" w:line="252" w:lineRule="auto"/>
            </w:pPr>
            <w:hyperlink r:id="rId14">
              <w:r>
                <w:rPr>
                  <w:rFonts w:ascii="Calibri" w:hAnsi="Calibri"/>
                  <w:color w:val="2E74B5"/>
                  <w:u w:val="single"/>
                  <w:sz w:val="19"/>
                </w:rPr>
                <w:t>Refresh control Evaluation E-2026-036026</w:t>
              </w:r>
            </w:hyperlink>
          </w:p>
        </w:tc>
        <w:tc>
          <w:tcPr>
            <w:tcW w:type="dxa" w:w="3670"/>
            <w:shd w:fill="F8FAFC" w:val="clear"/>
          </w:tcPr>
          <w:p>
            <w:pPr>
              <w:spacing w:before="0" w:after="0" w:line="252" w:lineRule="auto"/>
            </w:pPr>
            <w:r>
              <w:rPr>
                <w:rFonts w:ascii="Calibri" w:hAnsi="Calibri"/>
                <w:b w:val="0"/>
                <w:color w:val="222222"/>
                <w:sz w:val="19"/>
              </w:rPr>
              <w:t>All control image-reference fields remain unchanged and blank.</w:t>
            </w:r>
          </w:p>
        </w:tc>
      </w:tr>
      <w:tr>
        <w:tc>
          <w:tcPr>
            <w:tcW w:type="dxa" w:w="650"/>
          </w:tcPr>
          <w:p>
            <w:pPr>
              <w:spacing w:before="0" w:after="0" w:line="252" w:lineRule="auto"/>
            </w:pPr>
            <w:r>
              <w:rPr>
                <w:rFonts w:ascii="Calibri" w:hAnsi="Calibri"/>
                <w:b w:val="0"/>
                <w:color w:val="222222"/>
                <w:sz w:val="19"/>
              </w:rPr>
              <w:t>11</w:t>
            </w:r>
          </w:p>
        </w:tc>
        <w:tc>
          <w:tcPr>
            <w:tcW w:type="dxa" w:w="5040"/>
          </w:tcPr>
          <w:p>
            <w:pPr>
              <w:spacing w:before="0" w:after="0" w:line="252" w:lineRule="auto"/>
            </w:pPr>
            <w:r>
              <w:rPr>
                <w:rFonts w:ascii="Calibri" w:hAnsi="Calibri"/>
                <w:b w:val="0"/>
                <w:color w:val="222222"/>
                <w:sz w:val="19"/>
              </w:rPr>
              <w:t>Record the after-test values, result, tester, date/time, and any message shown. Do not copy OAuth codes or tokens.</w:t>
            </w:r>
          </w:p>
        </w:tc>
        <w:tc>
          <w:tcPr>
            <w:tcW w:type="dxa" w:w="3670"/>
          </w:tcPr>
          <w:p>
            <w:pPr>
              <w:spacing w:before="0" w:after="0" w:line="252" w:lineRule="auto"/>
            </w:pPr>
            <w:r>
              <w:rPr>
                <w:rFonts w:ascii="Calibri" w:hAnsi="Calibri"/>
                <w:b w:val="0"/>
                <w:color w:val="222222"/>
                <w:sz w:val="19"/>
              </w:rPr>
              <w:t>The test evidence is complete and safe to share with the team.</w:t>
            </w:r>
          </w:p>
        </w:tc>
      </w:tr>
    </w:tbl>
    <w:p>
      <w:pPr>
        <w:spacing w:after="0"/>
      </w:pPr>
    </w:p>
    <w:p>
      <w:pPr>
        <w:spacing w:before="160" w:after="200" w:line="264" w:lineRule="auto"/>
        <w:ind w:left="173" w:right="72"/>
        <w:shd w:fill="F4F6F9"/>
        <w:pBdr>
          <w:left w:val="single" w:sz="18" w:space="8" w:color="1F6D4A"/>
        </w:pBdr>
      </w:pPr>
      <w:r>
        <w:rPr>
          <w:rFonts w:ascii="Calibri" w:hAnsi="Calibri"/>
          <w:b/>
          <w:color w:val="1F6D4A"/>
          <w:sz w:val="21"/>
        </w:rPr>
        <w:t xml:space="preserve">Pass condition: </w:t>
      </w:r>
      <w:r>
        <w:rPr>
          <w:rFonts w:ascii="Calibri" w:hAnsi="Calibri"/>
          <w:color w:val="222222"/>
          <w:sz w:val="21"/>
        </w:rPr>
        <w:t>The primary Evaluation receives the intended photo references, the control Evaluation remains unchanged, the full folder URL is accepted without retaining resourcekey as part of the folder ID, and no null-reference error occurs.</w:t>
      </w:r>
    </w:p>
    <w:p>
      <w:pPr>
        <w:spacing w:after="0"/>
      </w:pPr>
      <w:r>
        <w:br w:type="page"/>
      </w:r>
    </w:p>
    <w:p>
      <w:pPr>
        <w:pStyle w:val="Heading1"/>
      </w:pPr>
      <w:r>
        <w:t>7. Acceptance Criteria and Automated Coverage</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000"/>
        <w:gridCol w:w="4440"/>
        <w:gridCol w:w="1920"/>
      </w:tblGrid>
      <w:tr>
        <w:trPr>
          <w:tblHeader w:val="true"/>
        </w:trPr>
        <w:tc>
          <w:tcPr>
            <w:tcW w:type="dxa" w:w="3000"/>
            <w:vAlign w:val="center"/>
            <w:tcMar>
              <w:top w:w="80" w:type="dxa"/>
              <w:start w:w="120" w:type="dxa"/>
              <w:bottom w:w="80" w:type="dxa"/>
              <w:end w:w="120" w:type="dxa"/>
            </w:tcMar>
            <w:shd w:fill="F2F4F7" w:val="clear"/>
          </w:tcPr>
          <w:p>
            <w:pPr>
              <w:spacing w:before="0" w:after="0"/>
            </w:pPr>
            <w:r>
              <w:rPr>
                <w:rFonts w:ascii="Calibri" w:hAnsi="Calibri"/>
                <w:b/>
                <w:color w:val="0B2545"/>
                <w:sz w:val="19"/>
              </w:rPr>
              <w:t>Acceptance check</w:t>
            </w:r>
          </w:p>
        </w:tc>
        <w:tc>
          <w:tcPr>
            <w:tcW w:type="dxa" w:w="4440"/>
            <w:vAlign w:val="center"/>
            <w:tcMar>
              <w:top w:w="80" w:type="dxa"/>
              <w:start w:w="120" w:type="dxa"/>
              <w:bottom w:w="80" w:type="dxa"/>
              <w:end w:w="120" w:type="dxa"/>
            </w:tcMar>
            <w:shd w:fill="F2F4F7" w:val="clear"/>
          </w:tcPr>
          <w:p>
            <w:pPr>
              <w:spacing w:before="0" w:after="0"/>
            </w:pPr>
            <w:r>
              <w:rPr>
                <w:rFonts w:ascii="Calibri" w:hAnsi="Calibri"/>
                <w:b/>
                <w:color w:val="0B2545"/>
                <w:sz w:val="19"/>
              </w:rPr>
              <w:t>Pass requirement</w:t>
            </w:r>
          </w:p>
        </w:tc>
        <w:tc>
          <w:tcPr>
            <w:tcW w:type="dxa" w:w="1920"/>
            <w:vAlign w:val="center"/>
            <w:tcMar>
              <w:top w:w="80" w:type="dxa"/>
              <w:start w:w="120" w:type="dxa"/>
              <w:bottom w:w="80" w:type="dxa"/>
              <w:end w:w="120" w:type="dxa"/>
            </w:tcMar>
            <w:shd w:fill="F2F4F7" w:val="clear"/>
          </w:tcPr>
          <w:p>
            <w:pPr>
              <w:spacing w:before="0" w:after="0"/>
            </w:pPr>
            <w:r>
              <w:rPr>
                <w:rFonts w:ascii="Calibri" w:hAnsi="Calibri"/>
                <w:b/>
                <w:color w:val="0B2545"/>
                <w:sz w:val="19"/>
              </w:rPr>
              <w:t>Current status</w:t>
            </w:r>
          </w:p>
        </w:tc>
      </w:tr>
      <w:tr>
        <w:tc>
          <w:tcPr>
            <w:tcW w:type="dxa" w:w="3000"/>
          </w:tcPr>
          <w:p>
            <w:pPr>
              <w:spacing w:before="0" w:after="0" w:line="252" w:lineRule="auto"/>
            </w:pPr>
            <w:r>
              <w:rPr>
                <w:rFonts w:ascii="Calibri" w:hAnsi="Calibri"/>
                <w:b w:val="0"/>
                <w:color w:val="222222"/>
                <w:sz w:val="19"/>
              </w:rPr>
              <w:t>Exact Evaluation context</w:t>
            </w:r>
          </w:p>
        </w:tc>
        <w:tc>
          <w:tcPr>
            <w:tcW w:type="dxa" w:w="4440"/>
          </w:tcPr>
          <w:p>
            <w:pPr>
              <w:spacing w:before="0" w:after="0" w:line="252" w:lineRule="auto"/>
            </w:pPr>
            <w:r>
              <w:rPr>
                <w:rFonts w:ascii="Calibri" w:hAnsi="Calibri"/>
                <w:b w:val="0"/>
                <w:color w:val="222222"/>
                <w:sz w:val="19"/>
              </w:rPr>
              <w:t>Callback returns to E-2026-036025 and does not select another record.</w:t>
            </w:r>
          </w:p>
        </w:tc>
        <w:tc>
          <w:tcPr>
            <w:tcW w:type="dxa" w:w="1920"/>
          </w:tcPr>
          <w:p>
            <w:pPr>
              <w:spacing w:before="0" w:after="0" w:line="252" w:lineRule="auto"/>
            </w:pPr>
            <w:r>
              <w:rPr>
                <w:rFonts w:ascii="Calibri" w:hAnsi="Calibri"/>
                <w:b/>
                <w:color w:val="7A5A00"/>
                <w:sz w:val="19"/>
              </w:rPr>
              <w:t>PENDING MANUAL UAT</w:t>
            </w:r>
          </w:p>
        </w:tc>
      </w:tr>
      <w:tr>
        <w:tc>
          <w:tcPr>
            <w:tcW w:type="dxa" w:w="3000"/>
            <w:shd w:fill="F8FAFC" w:val="clear"/>
          </w:tcPr>
          <w:p>
            <w:pPr>
              <w:spacing w:before="0" w:after="0" w:line="252" w:lineRule="auto"/>
            </w:pPr>
            <w:r>
              <w:rPr>
                <w:rFonts w:ascii="Calibri" w:hAnsi="Calibri"/>
                <w:b w:val="0"/>
                <w:color w:val="222222"/>
                <w:sz w:val="19"/>
              </w:rPr>
              <w:t>Primary image mapping</w:t>
            </w:r>
          </w:p>
        </w:tc>
        <w:tc>
          <w:tcPr>
            <w:tcW w:type="dxa" w:w="4440"/>
            <w:shd w:fill="F8FAFC" w:val="clear"/>
          </w:tcPr>
          <w:p>
            <w:pPr>
              <w:spacing w:before="0" w:after="0" w:line="252" w:lineRule="auto"/>
            </w:pPr>
            <w:r>
              <w:rPr>
                <w:rFonts w:ascii="Calibri" w:hAnsi="Calibri"/>
                <w:b w:val="0"/>
                <w:color w:val="222222"/>
                <w:sz w:val="19"/>
              </w:rPr>
              <w:t>Recognizable files populate the expected primary Evaluation image/reference fields.</w:t>
            </w:r>
          </w:p>
        </w:tc>
        <w:tc>
          <w:tcPr>
            <w:tcW w:type="dxa" w:w="1920"/>
            <w:shd w:fill="F8FAFC" w:val="clear"/>
          </w:tcPr>
          <w:p>
            <w:pPr>
              <w:spacing w:before="0" w:after="0" w:line="252" w:lineRule="auto"/>
            </w:pPr>
            <w:r>
              <w:rPr>
                <w:rFonts w:ascii="Calibri" w:hAnsi="Calibri"/>
                <w:b/>
                <w:color w:val="7A5A00"/>
                <w:sz w:val="19"/>
              </w:rPr>
              <w:t>PENDING MANUAL UAT</w:t>
            </w:r>
          </w:p>
        </w:tc>
      </w:tr>
      <w:tr>
        <w:tc>
          <w:tcPr>
            <w:tcW w:type="dxa" w:w="3000"/>
          </w:tcPr>
          <w:p>
            <w:pPr>
              <w:spacing w:before="0" w:after="0" w:line="252" w:lineRule="auto"/>
            </w:pPr>
            <w:r>
              <w:rPr>
                <w:rFonts w:ascii="Calibri" w:hAnsi="Calibri"/>
                <w:b w:val="0"/>
                <w:color w:val="222222"/>
                <w:sz w:val="19"/>
              </w:rPr>
              <w:t>Control protection</w:t>
            </w:r>
          </w:p>
        </w:tc>
        <w:tc>
          <w:tcPr>
            <w:tcW w:type="dxa" w:w="4440"/>
          </w:tcPr>
          <w:p>
            <w:pPr>
              <w:spacing w:before="0" w:after="0" w:line="252" w:lineRule="auto"/>
            </w:pPr>
            <w:r>
              <w:rPr>
                <w:rFonts w:ascii="Calibri" w:hAnsi="Calibri"/>
                <w:b w:val="0"/>
                <w:color w:val="222222"/>
                <w:sz w:val="19"/>
              </w:rPr>
              <w:t>E-2026-036026 remains unchanged.</w:t>
            </w:r>
          </w:p>
        </w:tc>
        <w:tc>
          <w:tcPr>
            <w:tcW w:type="dxa" w:w="1920"/>
          </w:tcPr>
          <w:p>
            <w:pPr>
              <w:spacing w:before="0" w:after="0" w:line="252" w:lineRule="auto"/>
            </w:pPr>
            <w:r>
              <w:rPr>
                <w:rFonts w:ascii="Calibri" w:hAnsi="Calibri"/>
                <w:b/>
                <w:color w:val="7A5A00"/>
                <w:sz w:val="19"/>
              </w:rPr>
              <w:t>PENDING MANUAL UAT</w:t>
            </w:r>
          </w:p>
        </w:tc>
      </w:tr>
      <w:tr>
        <w:tc>
          <w:tcPr>
            <w:tcW w:type="dxa" w:w="3000"/>
            <w:shd w:fill="F8FAFC" w:val="clear"/>
          </w:tcPr>
          <w:p>
            <w:pPr>
              <w:spacing w:before="0" w:after="0" w:line="252" w:lineRule="auto"/>
            </w:pPr>
            <w:r>
              <w:rPr>
                <w:rFonts w:ascii="Calibri" w:hAnsi="Calibri"/>
                <w:b w:val="0"/>
                <w:color w:val="222222"/>
                <w:sz w:val="19"/>
              </w:rPr>
              <w:t>Folder normalization</w:t>
            </w:r>
          </w:p>
        </w:tc>
        <w:tc>
          <w:tcPr>
            <w:tcW w:type="dxa" w:w="4440"/>
            <w:shd w:fill="F8FAFC" w:val="clear"/>
          </w:tcPr>
          <w:p>
            <w:pPr>
              <w:spacing w:before="0" w:after="0" w:line="252" w:lineRule="auto"/>
            </w:pPr>
            <w:r>
              <w:rPr>
                <w:rFonts w:ascii="Calibri" w:hAnsi="Calibri"/>
                <w:b w:val="0"/>
                <w:color w:val="222222"/>
                <w:sz w:val="19"/>
              </w:rPr>
              <w:t>A full Drive folder URL is accepted and resourcekey is excluded from the folder ID.</w:t>
            </w:r>
          </w:p>
        </w:tc>
        <w:tc>
          <w:tcPr>
            <w:tcW w:type="dxa" w:w="1920"/>
            <w:shd w:fill="F8FAFC" w:val="clear"/>
          </w:tcPr>
          <w:p>
            <w:pPr>
              <w:spacing w:before="0" w:after="0" w:line="252" w:lineRule="auto"/>
            </w:pPr>
            <w:r>
              <w:rPr>
                <w:rFonts w:ascii="Calibri" w:hAnsi="Calibri"/>
                <w:b/>
                <w:color w:val="7A5A00"/>
                <w:sz w:val="19"/>
              </w:rPr>
              <w:t>PENDING MANUAL UAT</w:t>
            </w:r>
          </w:p>
        </w:tc>
      </w:tr>
      <w:tr>
        <w:tc>
          <w:tcPr>
            <w:tcW w:type="dxa" w:w="3000"/>
          </w:tcPr>
          <w:p>
            <w:pPr>
              <w:spacing w:before="0" w:after="0" w:line="252" w:lineRule="auto"/>
            </w:pPr>
            <w:r>
              <w:rPr>
                <w:rFonts w:ascii="Calibri" w:hAnsi="Calibri"/>
                <w:b w:val="0"/>
                <w:color w:val="222222"/>
                <w:sz w:val="19"/>
              </w:rPr>
              <w:t>Safe error behavior</w:t>
            </w:r>
          </w:p>
        </w:tc>
        <w:tc>
          <w:tcPr>
            <w:tcW w:type="dxa" w:w="4440"/>
          </w:tcPr>
          <w:p>
            <w:pPr>
              <w:spacing w:before="0" w:after="0" w:line="252" w:lineRule="auto"/>
            </w:pPr>
            <w:r>
              <w:rPr>
                <w:rFonts w:ascii="Calibri" w:hAnsi="Calibri"/>
                <w:b w:val="0"/>
                <w:color w:val="222222"/>
                <w:sz w:val="19"/>
              </w:rPr>
              <w:t>Missing or invalid prerequisites show a readable error and do not update another Evaluation.</w:t>
            </w:r>
          </w:p>
        </w:tc>
        <w:tc>
          <w:tcPr>
            <w:tcW w:type="dxa" w:w="1920"/>
          </w:tcPr>
          <w:p>
            <w:pPr>
              <w:spacing w:before="0" w:after="0" w:line="252" w:lineRule="auto"/>
            </w:pPr>
            <w:r>
              <w:rPr>
                <w:rFonts w:ascii="Calibri" w:hAnsi="Calibri"/>
                <w:b/>
                <w:color w:val="1F6D4A"/>
                <w:sz w:val="19"/>
              </w:rPr>
              <w:t>AUTOMATED PASS</w:t>
            </w:r>
          </w:p>
        </w:tc>
      </w:tr>
      <w:tr>
        <w:tc>
          <w:tcPr>
            <w:tcW w:type="dxa" w:w="3000"/>
            <w:shd w:fill="F8FAFC" w:val="clear"/>
          </w:tcPr>
          <w:p>
            <w:pPr>
              <w:spacing w:before="0" w:after="0" w:line="252" w:lineRule="auto"/>
            </w:pPr>
            <w:r>
              <w:rPr>
                <w:rFonts w:ascii="Calibri" w:hAnsi="Calibri"/>
                <w:b w:val="0"/>
                <w:color w:val="222222"/>
                <w:sz w:val="19"/>
              </w:rPr>
              <w:t>Focused regression suite</w:t>
            </w:r>
          </w:p>
        </w:tc>
        <w:tc>
          <w:tcPr>
            <w:tcW w:type="dxa" w:w="4440"/>
            <w:shd w:fill="F8FAFC" w:val="clear"/>
          </w:tcPr>
          <w:p>
            <w:pPr>
              <w:spacing w:before="0" w:after="0" w:line="252" w:lineRule="auto"/>
            </w:pPr>
            <w:r>
              <w:rPr>
                <w:rFonts w:ascii="Calibri" w:hAnsi="Calibri"/>
                <w:b w:val="0"/>
                <w:color w:val="222222"/>
                <w:sz w:val="19"/>
              </w:rPr>
              <w:t>All four dedicated test methods complete without failure.</w:t>
            </w:r>
          </w:p>
        </w:tc>
        <w:tc>
          <w:tcPr>
            <w:tcW w:type="dxa" w:w="1920"/>
            <w:shd w:fill="F8FAFC" w:val="clear"/>
          </w:tcPr>
          <w:p>
            <w:pPr>
              <w:spacing w:before="0" w:after="0" w:line="252" w:lineRule="auto"/>
            </w:pPr>
            <w:r>
              <w:rPr>
                <w:rFonts w:ascii="Calibri" w:hAnsi="Calibri"/>
                <w:b/>
                <w:color w:val="1F6D4A"/>
                <w:sz w:val="19"/>
              </w:rPr>
              <w:t>AUTOMATED PASS</w:t>
            </w:r>
          </w:p>
        </w:tc>
      </w:tr>
    </w:tbl>
    <w:p>
      <w:pPr>
        <w:spacing w:after="0"/>
      </w:pPr>
    </w:p>
    <w:p>
      <w:pPr>
        <w:keepLines/>
      </w:pPr>
      <w:r>
        <w:rPr>
          <w:rFonts w:ascii="Calibri" w:hAnsi="Calibri"/>
          <w:b/>
          <w:color w:val="0B2545"/>
        </w:rPr>
        <w:t xml:space="preserve">Successful automated test methods: </w:t>
      </w:r>
      <w:r>
        <w:rPr>
          <w:rFonts w:ascii="Calibri" w:hAnsi="Calibri"/>
          <w:color w:val="222222"/>
        </w:rPr>
        <w:t>mytest; mytest2; mytest3; case00010716RejectsMissingOrInvalidCallbackState.</w:t>
      </w:r>
    </w:p>
    <w:p>
      <w:pPr>
        <w:keepLines/>
      </w:pPr>
      <w:r>
        <w:rPr>
          <w:rFonts w:ascii="Calibri" w:hAnsi="Calibri"/>
          <w:b/>
          <w:color w:val="0B2545"/>
        </w:rPr>
        <w:t xml:space="preserve">Automated protection proved: </w:t>
      </w:r>
      <w:r>
        <w:rPr>
          <w:rFonts w:ascii="Calibri" w:hAnsi="Calibri"/>
          <w:color w:val="222222"/>
        </w:rPr>
        <w:t>The tests restore the intended Evaluation from callback state, normalize complete folder URLs, handle dated subfolders, reject missing or invalid state, update the intended Evaluation, and leave a second Evaluation unchanged.</w:t>
      </w:r>
    </w:p>
    <w:p>
      <w:pPr>
        <w:pStyle w:val="Heading1"/>
      </w:pPr>
      <w:r>
        <w:t>8. Troubleshooting</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000"/>
        <w:gridCol w:w="3060"/>
        <w:gridCol w:w="3300"/>
      </w:tblGrid>
      <w:tr>
        <w:trPr>
          <w:tblHeader w:val="true"/>
        </w:trPr>
        <w:tc>
          <w:tcPr>
            <w:tcW w:type="dxa" w:w="3000"/>
            <w:vAlign w:val="center"/>
            <w:tcMar>
              <w:top w:w="80" w:type="dxa"/>
              <w:start w:w="120" w:type="dxa"/>
              <w:bottom w:w="80" w:type="dxa"/>
              <w:end w:w="120" w:type="dxa"/>
            </w:tcMar>
            <w:shd w:fill="F2F4F7" w:val="clear"/>
          </w:tcPr>
          <w:p>
            <w:pPr>
              <w:spacing w:before="0" w:after="0"/>
            </w:pPr>
            <w:r>
              <w:rPr>
                <w:rFonts w:ascii="Calibri" w:hAnsi="Calibri"/>
                <w:b/>
                <w:color w:val="0B2545"/>
                <w:sz w:val="19"/>
              </w:rPr>
              <w:t>Observed message or condition</w:t>
            </w:r>
          </w:p>
        </w:tc>
        <w:tc>
          <w:tcPr>
            <w:tcW w:type="dxa" w:w="3060"/>
            <w:vAlign w:val="center"/>
            <w:tcMar>
              <w:top w:w="80" w:type="dxa"/>
              <w:start w:w="120" w:type="dxa"/>
              <w:bottom w:w="80" w:type="dxa"/>
              <w:end w:w="120" w:type="dxa"/>
            </w:tcMar>
            <w:shd w:fill="F2F4F7" w:val="clear"/>
          </w:tcPr>
          <w:p>
            <w:pPr>
              <w:spacing w:before="0" w:after="0"/>
            </w:pPr>
            <w:r>
              <w:rPr>
                <w:rFonts w:ascii="Calibri" w:hAnsi="Calibri"/>
                <w:b/>
                <w:color w:val="0B2545"/>
                <w:sz w:val="19"/>
              </w:rPr>
              <w:t>Likely cause</w:t>
            </w:r>
          </w:p>
        </w:tc>
        <w:tc>
          <w:tcPr>
            <w:tcW w:type="dxa" w:w="3300"/>
            <w:vAlign w:val="center"/>
            <w:tcMar>
              <w:top w:w="80" w:type="dxa"/>
              <w:start w:w="120" w:type="dxa"/>
              <w:bottom w:w="80" w:type="dxa"/>
              <w:end w:w="120" w:type="dxa"/>
            </w:tcMar>
            <w:shd w:fill="F2F4F7" w:val="clear"/>
          </w:tcPr>
          <w:p>
            <w:pPr>
              <w:spacing w:before="0" w:after="0"/>
            </w:pPr>
            <w:r>
              <w:rPr>
                <w:rFonts w:ascii="Calibri" w:hAnsi="Calibri"/>
                <w:b/>
                <w:color w:val="0B2545"/>
                <w:sz w:val="19"/>
              </w:rPr>
              <w:t>Tester action</w:t>
            </w:r>
          </w:p>
        </w:tc>
      </w:tr>
      <w:tr>
        <w:tc>
          <w:tcPr>
            <w:tcW w:type="dxa" w:w="3000"/>
          </w:tcPr>
          <w:p>
            <w:pPr>
              <w:spacing w:before="0" w:after="0" w:line="252" w:lineRule="auto"/>
            </w:pPr>
            <w:r>
              <w:rPr>
                <w:rFonts w:ascii="Calibri" w:hAnsi="Calibri"/>
                <w:b w:val="0"/>
                <w:color w:val="222222"/>
                <w:sz w:val="19"/>
              </w:rPr>
              <w:t>Evaluation could not be identified</w:t>
            </w:r>
          </w:p>
        </w:tc>
        <w:tc>
          <w:tcPr>
            <w:tcW w:type="dxa" w:w="3060"/>
          </w:tcPr>
          <w:p>
            <w:pPr>
              <w:spacing w:before="0" w:after="0" w:line="252" w:lineRule="auto"/>
            </w:pPr>
            <w:r>
              <w:rPr>
                <w:rFonts w:ascii="Calibri" w:hAnsi="Calibri"/>
                <w:b w:val="0"/>
                <w:color w:val="222222"/>
                <w:sz w:val="19"/>
              </w:rPr>
              <w:t>The authentication page was opened without the primary Evaluation ID or callback state was invalid.</w:t>
            </w:r>
          </w:p>
        </w:tc>
        <w:tc>
          <w:tcPr>
            <w:tcW w:type="dxa" w:w="3300"/>
          </w:tcPr>
          <w:p>
            <w:pPr>
              <w:spacing w:before="0" w:after="0" w:line="252" w:lineRule="auto"/>
            </w:pPr>
            <w:r>
              <w:rPr>
                <w:rFonts w:ascii="Calibri" w:hAnsi="Calibri"/>
                <w:b w:val="0"/>
                <w:color w:val="222222"/>
                <w:sz w:val="19"/>
              </w:rPr>
              <w:t>Return to E-2026-036025 and use the supplied authentication link.</w:t>
            </w:r>
          </w:p>
        </w:tc>
      </w:tr>
      <w:tr>
        <w:tc>
          <w:tcPr>
            <w:tcW w:type="dxa" w:w="3000"/>
            <w:shd w:fill="F8FAFC" w:val="clear"/>
          </w:tcPr>
          <w:p>
            <w:pPr>
              <w:spacing w:before="0" w:after="0" w:line="252" w:lineRule="auto"/>
            </w:pPr>
            <w:r>
              <w:rPr>
                <w:rFonts w:ascii="Calibri" w:hAnsi="Calibri"/>
                <w:b w:val="0"/>
                <w:color w:val="222222"/>
                <w:sz w:val="19"/>
              </w:rPr>
              <w:t>Associated RMA or Product Item unavailable</w:t>
            </w:r>
          </w:p>
        </w:tc>
        <w:tc>
          <w:tcPr>
            <w:tcW w:type="dxa" w:w="3060"/>
            <w:shd w:fill="F8FAFC" w:val="clear"/>
          </w:tcPr>
          <w:p>
            <w:pPr>
              <w:spacing w:before="0" w:after="0" w:line="252" w:lineRule="auto"/>
            </w:pPr>
            <w:r>
              <w:rPr>
                <w:rFonts w:ascii="Calibri" w:hAnsi="Calibri"/>
                <w:b w:val="0"/>
                <w:color w:val="222222"/>
                <w:sz w:val="19"/>
              </w:rPr>
              <w:t>The primary Evaluation relationship is missing or no longer accessible.</w:t>
            </w:r>
          </w:p>
        </w:tc>
        <w:tc>
          <w:tcPr>
            <w:tcW w:type="dxa" w:w="3300"/>
            <w:shd w:fill="F8FAFC" w:val="clear"/>
          </w:tcPr>
          <w:p>
            <w:pPr>
              <w:spacing w:before="0" w:after="0" w:line="252" w:lineRule="auto"/>
            </w:pPr>
            <w:r>
              <w:rPr>
                <w:rFonts w:ascii="Calibri" w:hAnsi="Calibri"/>
                <w:b w:val="0"/>
                <w:color w:val="222222"/>
                <w:sz w:val="19"/>
              </w:rPr>
              <w:t>Stop the test and ask the Salesforce owner to verify the dedicated records.</w:t>
            </w:r>
          </w:p>
        </w:tc>
      </w:tr>
      <w:tr>
        <w:tc>
          <w:tcPr>
            <w:tcW w:type="dxa" w:w="3000"/>
          </w:tcPr>
          <w:p>
            <w:pPr>
              <w:spacing w:before="0" w:after="0" w:line="252" w:lineRule="auto"/>
            </w:pPr>
            <w:r>
              <w:rPr>
                <w:rFonts w:ascii="Calibri" w:hAnsi="Calibri"/>
                <w:b w:val="0"/>
                <w:color w:val="222222"/>
                <w:sz w:val="19"/>
              </w:rPr>
              <w:t>No valid Google Drive folder</w:t>
            </w:r>
          </w:p>
        </w:tc>
        <w:tc>
          <w:tcPr>
            <w:tcW w:type="dxa" w:w="3060"/>
          </w:tcPr>
          <w:p>
            <w:pPr>
              <w:spacing w:before="0" w:after="0" w:line="252" w:lineRule="auto"/>
            </w:pPr>
            <w:r>
              <w:rPr>
                <w:rFonts w:ascii="Calibri" w:hAnsi="Calibri"/>
                <w:b w:val="0"/>
                <w:color w:val="222222"/>
                <w:sz w:val="19"/>
              </w:rPr>
              <w:t>The Product Item folder value is blank, malformed, or inaccessible.</w:t>
            </w:r>
          </w:p>
        </w:tc>
        <w:tc>
          <w:tcPr>
            <w:tcW w:type="dxa" w:w="3300"/>
          </w:tcPr>
          <w:p>
            <w:pPr>
              <w:spacing w:before="0" w:after="0" w:line="252" w:lineRule="auto"/>
            </w:pPr>
            <w:r>
              <w:rPr>
                <w:rFonts w:ascii="Calibri" w:hAnsi="Calibri"/>
                <w:b w:val="0"/>
                <w:color w:val="222222"/>
                <w:sz w:val="19"/>
              </w:rPr>
              <w:t>Confirm the complete folder URL, access permission, and saved Product Item value.</w:t>
            </w:r>
          </w:p>
        </w:tc>
      </w:tr>
      <w:tr>
        <w:tc>
          <w:tcPr>
            <w:tcW w:type="dxa" w:w="3000"/>
            <w:shd w:fill="F8FAFC" w:val="clear"/>
          </w:tcPr>
          <w:p>
            <w:pPr>
              <w:spacing w:before="0" w:after="0" w:line="252" w:lineRule="auto"/>
            </w:pPr>
            <w:r>
              <w:rPr>
                <w:rFonts w:ascii="Calibri" w:hAnsi="Calibri"/>
                <w:b w:val="0"/>
                <w:color w:val="222222"/>
                <w:sz w:val="19"/>
              </w:rPr>
              <w:t>No valid image folder or images listed</w:t>
            </w:r>
          </w:p>
        </w:tc>
        <w:tc>
          <w:tcPr>
            <w:tcW w:type="dxa" w:w="3060"/>
            <w:shd w:fill="F8FAFC" w:val="clear"/>
          </w:tcPr>
          <w:p>
            <w:pPr>
              <w:spacing w:before="0" w:after="0" w:line="252" w:lineRule="auto"/>
            </w:pPr>
            <w:r>
              <w:rPr>
                <w:rFonts w:ascii="Calibri" w:hAnsi="Calibri"/>
                <w:b w:val="0"/>
                <w:color w:val="222222"/>
                <w:sz w:val="19"/>
              </w:rPr>
              <w:t>File names do not match the process or the expected dated folder cannot be identified.</w:t>
            </w:r>
          </w:p>
        </w:tc>
        <w:tc>
          <w:tcPr>
            <w:tcW w:type="dxa" w:w="3300"/>
            <w:shd w:fill="F8FAFC" w:val="clear"/>
          </w:tcPr>
          <w:p>
            <w:pPr>
              <w:spacing w:before="0" w:after="0" w:line="252" w:lineRule="auto"/>
            </w:pPr>
            <w:r>
              <w:rPr>
                <w:rFonts w:ascii="Calibri" w:hAnsi="Calibri"/>
                <w:b w:val="0"/>
                <w:color w:val="222222"/>
                <w:sz w:val="19"/>
              </w:rPr>
              <w:t>Use recognizable names and confirm the folder structure with the process owner.</w:t>
            </w:r>
          </w:p>
        </w:tc>
      </w:tr>
      <w:tr>
        <w:tc>
          <w:tcPr>
            <w:tcW w:type="dxa" w:w="3000"/>
          </w:tcPr>
          <w:p>
            <w:pPr>
              <w:spacing w:before="0" w:after="0" w:line="252" w:lineRule="auto"/>
            </w:pPr>
            <w:r>
              <w:rPr>
                <w:rFonts w:ascii="Calibri" w:hAnsi="Calibri"/>
                <w:b w:val="0"/>
                <w:color w:val="222222"/>
                <w:sz w:val="19"/>
              </w:rPr>
              <w:t>Control Evaluation changed</w:t>
            </w:r>
          </w:p>
        </w:tc>
        <w:tc>
          <w:tcPr>
            <w:tcW w:type="dxa" w:w="3060"/>
          </w:tcPr>
          <w:p>
            <w:pPr>
              <w:spacing w:before="0" w:after="0" w:line="252" w:lineRule="auto"/>
            </w:pPr>
            <w:r>
              <w:rPr>
                <w:rFonts w:ascii="Calibri" w:hAnsi="Calibri"/>
                <w:b w:val="0"/>
                <w:color w:val="222222"/>
                <w:sz w:val="19"/>
              </w:rPr>
              <w:t>The regression protection did not hold.</w:t>
            </w:r>
          </w:p>
        </w:tc>
        <w:tc>
          <w:tcPr>
            <w:tcW w:type="dxa" w:w="3300"/>
          </w:tcPr>
          <w:p>
            <w:pPr>
              <w:spacing w:before="0" w:after="0" w:line="252" w:lineRule="auto"/>
            </w:pPr>
            <w:r>
              <w:rPr>
                <w:rFonts w:ascii="Calibri" w:hAnsi="Calibri"/>
                <w:b w:val="0"/>
                <w:color w:val="222222"/>
                <w:sz w:val="19"/>
              </w:rPr>
              <w:t>Stop, capture only Salesforce field values and timestamps, and escalate as a failed UAT result. Do not proceed to Production.</w:t>
            </w:r>
          </w:p>
        </w:tc>
      </w:tr>
    </w:tbl>
    <w:p>
      <w:pPr>
        <w:spacing w:after="0"/>
      </w:pPr>
    </w:p>
    <w:p>
      <w:pPr>
        <w:spacing w:after="0"/>
      </w:pPr>
      <w:r>
        <w:br w:type="page"/>
      </w:r>
    </w:p>
    <w:p>
      <w:pPr>
        <w:pStyle w:val="Heading1"/>
      </w:pPr>
      <w:r>
        <w:t>9. Test Execution Record</w:t>
      </w:r>
    </w:p>
    <w:p>
      <w:pPr>
        <w:keepLines/>
      </w:pPr>
      <w:r>
        <w:rPr>
          <w:rFonts w:ascii="Calibri" w:hAnsi="Calibri"/>
          <w:b/>
          <w:color w:val="0B2545"/>
        </w:rPr>
        <w:t xml:space="preserve">Instructions: </w:t>
      </w:r>
      <w:r>
        <w:rPr>
          <w:rFonts w:ascii="Calibri" w:hAnsi="Calibri"/>
          <w:color w:val="222222"/>
        </w:rPr>
        <w:t>Complete this table after the manual test. Record field values and user-visible messages only. Do not paste session tokens, authorization codes, refresh tokens, or cookies.</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600"/>
        <w:gridCol w:w="5760"/>
      </w:tblGrid>
      <w:tr>
        <w:trPr>
          <w:tblHeader w:val="true"/>
        </w:trPr>
        <w:tc>
          <w:tcPr>
            <w:tcW w:type="dxa" w:w="3600"/>
            <w:vAlign w:val="center"/>
            <w:tcMar>
              <w:top w:w="80" w:type="dxa"/>
              <w:start w:w="120" w:type="dxa"/>
              <w:bottom w:w="80" w:type="dxa"/>
              <w:end w:w="120" w:type="dxa"/>
            </w:tcMar>
            <w:shd w:fill="F2F4F7" w:val="clear"/>
          </w:tcPr>
          <w:p>
            <w:pPr>
              <w:spacing w:before="0" w:after="0"/>
            </w:pPr>
            <w:r>
              <w:rPr>
                <w:rFonts w:ascii="Calibri" w:hAnsi="Calibri"/>
                <w:b/>
                <w:color w:val="0B2545"/>
                <w:sz w:val="19"/>
              </w:rPr>
              <w:t>Evidence item</w:t>
            </w:r>
          </w:p>
        </w:tc>
        <w:tc>
          <w:tcPr>
            <w:tcW w:type="dxa" w:w="5760"/>
            <w:vAlign w:val="center"/>
            <w:tcMar>
              <w:top w:w="80" w:type="dxa"/>
              <w:start w:w="120" w:type="dxa"/>
              <w:bottom w:w="80" w:type="dxa"/>
              <w:end w:w="120" w:type="dxa"/>
            </w:tcMar>
            <w:shd w:fill="F2F4F7" w:val="clear"/>
          </w:tcPr>
          <w:p>
            <w:pPr>
              <w:spacing w:before="0" w:after="0"/>
            </w:pPr>
            <w:r>
              <w:rPr>
                <w:rFonts w:ascii="Calibri" w:hAnsi="Calibri"/>
                <w:b/>
                <w:color w:val="0B2545"/>
                <w:sz w:val="19"/>
              </w:rPr>
              <w:t>Tester entry</w:t>
            </w:r>
          </w:p>
        </w:tc>
      </w:tr>
      <w:tr>
        <w:tc>
          <w:tcPr>
            <w:tcW w:type="dxa" w:w="3600"/>
          </w:tcPr>
          <w:p>
            <w:pPr>
              <w:spacing w:before="0" w:after="0" w:line="252" w:lineRule="auto"/>
            </w:pPr>
            <w:r>
              <w:rPr>
                <w:rFonts w:ascii="Calibri" w:hAnsi="Calibri"/>
                <w:b w:val="0"/>
                <w:color w:val="222222"/>
                <w:sz w:val="19"/>
              </w:rPr>
              <w:t>Tester name</w:t>
            </w:r>
          </w:p>
        </w:tc>
        <w:tc>
          <w:tcPr>
            <w:tcW w:type="dxa" w:w="5760"/>
          </w:tcPr>
          <w:p>
            <w:pPr>
              <w:spacing w:before="0" w:after="0" w:line="252" w:lineRule="auto"/>
            </w:pPr>
            <w:r>
              <w:rPr>
                <w:rFonts w:ascii="Calibri" w:hAnsi="Calibri"/>
                <w:b w:val="0"/>
                <w:color w:val="222222"/>
                <w:sz w:val="19"/>
              </w:rPr>
            </w:r>
          </w:p>
        </w:tc>
      </w:tr>
      <w:tr>
        <w:tc>
          <w:tcPr>
            <w:tcW w:type="dxa" w:w="3600"/>
            <w:shd w:fill="F8FAFC" w:val="clear"/>
          </w:tcPr>
          <w:p>
            <w:pPr>
              <w:spacing w:before="0" w:after="0" w:line="252" w:lineRule="auto"/>
            </w:pPr>
            <w:r>
              <w:rPr>
                <w:rFonts w:ascii="Calibri" w:hAnsi="Calibri"/>
                <w:b w:val="0"/>
                <w:color w:val="222222"/>
                <w:sz w:val="19"/>
              </w:rPr>
              <w:t>Execution date and time</w:t>
            </w:r>
          </w:p>
        </w:tc>
        <w:tc>
          <w:tcPr>
            <w:tcW w:type="dxa" w:w="5760"/>
            <w:shd w:fill="F8FAFC" w:val="clear"/>
          </w:tcPr>
          <w:p>
            <w:pPr>
              <w:spacing w:before="0" w:after="0" w:line="252" w:lineRule="auto"/>
            </w:pPr>
            <w:r>
              <w:rPr>
                <w:rFonts w:ascii="Calibri" w:hAnsi="Calibri"/>
                <w:b w:val="0"/>
                <w:color w:val="222222"/>
                <w:sz w:val="19"/>
              </w:rPr>
            </w:r>
          </w:p>
        </w:tc>
      </w:tr>
      <w:tr>
        <w:tc>
          <w:tcPr>
            <w:tcW w:type="dxa" w:w="3600"/>
          </w:tcPr>
          <w:p>
            <w:pPr>
              <w:spacing w:before="0" w:after="0" w:line="252" w:lineRule="auto"/>
            </w:pPr>
            <w:r>
              <w:rPr>
                <w:rFonts w:ascii="Calibri" w:hAnsi="Calibri"/>
                <w:b w:val="0"/>
                <w:color w:val="222222"/>
                <w:sz w:val="19"/>
              </w:rPr>
              <w:t>Google Drive folder label or approved reference</w:t>
            </w:r>
          </w:p>
        </w:tc>
        <w:tc>
          <w:tcPr>
            <w:tcW w:type="dxa" w:w="5760"/>
          </w:tcPr>
          <w:p>
            <w:pPr>
              <w:spacing w:before="0" w:after="0" w:line="252" w:lineRule="auto"/>
            </w:pPr>
            <w:r>
              <w:rPr>
                <w:rFonts w:ascii="Calibri" w:hAnsi="Calibri"/>
                <w:b w:val="0"/>
                <w:color w:val="222222"/>
                <w:sz w:val="19"/>
              </w:rPr>
            </w:r>
          </w:p>
        </w:tc>
      </w:tr>
      <w:tr>
        <w:tc>
          <w:tcPr>
            <w:tcW w:type="dxa" w:w="3600"/>
            <w:shd w:fill="F8FAFC" w:val="clear"/>
          </w:tcPr>
          <w:p>
            <w:pPr>
              <w:spacing w:before="0" w:after="0" w:line="252" w:lineRule="auto"/>
            </w:pPr>
            <w:r>
              <w:rPr>
                <w:rFonts w:ascii="Calibri" w:hAnsi="Calibri"/>
                <w:b w:val="0"/>
                <w:color w:val="222222"/>
                <w:sz w:val="19"/>
              </w:rPr>
              <w:t>Primary baseline - Lens / Whole / SN / Folder</w:t>
            </w:r>
          </w:p>
        </w:tc>
        <w:tc>
          <w:tcPr>
            <w:tcW w:type="dxa" w:w="5760"/>
            <w:shd w:fill="F8FAFC" w:val="clear"/>
          </w:tcPr>
          <w:p>
            <w:pPr>
              <w:spacing w:before="0" w:after="0" w:line="252" w:lineRule="auto"/>
            </w:pPr>
            <w:r>
              <w:rPr>
                <w:rFonts w:ascii="Calibri" w:hAnsi="Calibri"/>
                <w:b w:val="0"/>
                <w:color w:val="222222"/>
                <w:sz w:val="19"/>
              </w:rPr>
            </w:r>
          </w:p>
        </w:tc>
      </w:tr>
      <w:tr>
        <w:tc>
          <w:tcPr>
            <w:tcW w:type="dxa" w:w="3600"/>
          </w:tcPr>
          <w:p>
            <w:pPr>
              <w:spacing w:before="0" w:after="0" w:line="252" w:lineRule="auto"/>
            </w:pPr>
            <w:r>
              <w:rPr>
                <w:rFonts w:ascii="Calibri" w:hAnsi="Calibri"/>
                <w:b w:val="0"/>
                <w:color w:val="222222"/>
                <w:sz w:val="19"/>
              </w:rPr>
              <w:t>Primary after test - Lens / Whole / SN / Folder</w:t>
            </w:r>
          </w:p>
        </w:tc>
        <w:tc>
          <w:tcPr>
            <w:tcW w:type="dxa" w:w="5760"/>
          </w:tcPr>
          <w:p>
            <w:pPr>
              <w:spacing w:before="0" w:after="0" w:line="252" w:lineRule="auto"/>
            </w:pPr>
            <w:r>
              <w:rPr>
                <w:rFonts w:ascii="Calibri" w:hAnsi="Calibri"/>
                <w:b w:val="0"/>
                <w:color w:val="222222"/>
                <w:sz w:val="19"/>
              </w:rPr>
            </w:r>
          </w:p>
        </w:tc>
      </w:tr>
      <w:tr>
        <w:tc>
          <w:tcPr>
            <w:tcW w:type="dxa" w:w="3600"/>
            <w:shd w:fill="F8FAFC" w:val="clear"/>
          </w:tcPr>
          <w:p>
            <w:pPr>
              <w:spacing w:before="0" w:after="0" w:line="252" w:lineRule="auto"/>
            </w:pPr>
            <w:r>
              <w:rPr>
                <w:rFonts w:ascii="Calibri" w:hAnsi="Calibri"/>
                <w:b w:val="0"/>
                <w:color w:val="222222"/>
                <w:sz w:val="19"/>
              </w:rPr>
              <w:t>Control baseline - Lens / Whole / SN / Folder</w:t>
            </w:r>
          </w:p>
        </w:tc>
        <w:tc>
          <w:tcPr>
            <w:tcW w:type="dxa" w:w="5760"/>
            <w:shd w:fill="F8FAFC" w:val="clear"/>
          </w:tcPr>
          <w:p>
            <w:pPr>
              <w:spacing w:before="0" w:after="0" w:line="252" w:lineRule="auto"/>
            </w:pPr>
            <w:r>
              <w:rPr>
                <w:rFonts w:ascii="Calibri" w:hAnsi="Calibri"/>
                <w:b w:val="0"/>
                <w:color w:val="222222"/>
                <w:sz w:val="19"/>
              </w:rPr>
            </w:r>
          </w:p>
        </w:tc>
      </w:tr>
      <w:tr>
        <w:tc>
          <w:tcPr>
            <w:tcW w:type="dxa" w:w="3600"/>
          </w:tcPr>
          <w:p>
            <w:pPr>
              <w:spacing w:before="0" w:after="0" w:line="252" w:lineRule="auto"/>
            </w:pPr>
            <w:r>
              <w:rPr>
                <w:rFonts w:ascii="Calibri" w:hAnsi="Calibri"/>
                <w:b w:val="0"/>
                <w:color w:val="222222"/>
                <w:sz w:val="19"/>
              </w:rPr>
              <w:t>Control after test - Lens / Whole / SN / Folder</w:t>
            </w:r>
          </w:p>
        </w:tc>
        <w:tc>
          <w:tcPr>
            <w:tcW w:type="dxa" w:w="5760"/>
          </w:tcPr>
          <w:p>
            <w:pPr>
              <w:spacing w:before="0" w:after="0" w:line="252" w:lineRule="auto"/>
            </w:pPr>
            <w:r>
              <w:rPr>
                <w:rFonts w:ascii="Calibri" w:hAnsi="Calibri"/>
                <w:b w:val="0"/>
                <w:color w:val="222222"/>
                <w:sz w:val="19"/>
              </w:rPr>
            </w:r>
          </w:p>
        </w:tc>
      </w:tr>
      <w:tr>
        <w:tc>
          <w:tcPr>
            <w:tcW w:type="dxa" w:w="3600"/>
            <w:shd w:fill="F8FAFC" w:val="clear"/>
          </w:tcPr>
          <w:p>
            <w:pPr>
              <w:spacing w:before="0" w:after="0" w:line="252" w:lineRule="auto"/>
            </w:pPr>
            <w:r>
              <w:rPr>
                <w:rFonts w:ascii="Calibri" w:hAnsi="Calibri"/>
                <w:b w:val="0"/>
                <w:color w:val="222222"/>
                <w:sz w:val="19"/>
              </w:rPr>
              <w:t>User-visible messages</w:t>
            </w:r>
          </w:p>
        </w:tc>
        <w:tc>
          <w:tcPr>
            <w:tcW w:type="dxa" w:w="5760"/>
            <w:shd w:fill="F8FAFC" w:val="clear"/>
          </w:tcPr>
          <w:p>
            <w:pPr>
              <w:spacing w:before="0" w:after="0" w:line="252" w:lineRule="auto"/>
            </w:pPr>
            <w:r>
              <w:rPr>
                <w:rFonts w:ascii="Calibri" w:hAnsi="Calibri"/>
                <w:b w:val="0"/>
                <w:color w:val="222222"/>
                <w:sz w:val="19"/>
              </w:rPr>
            </w:r>
          </w:p>
        </w:tc>
      </w:tr>
      <w:tr>
        <w:tc>
          <w:tcPr>
            <w:tcW w:type="dxa" w:w="3600"/>
          </w:tcPr>
          <w:p>
            <w:pPr>
              <w:spacing w:before="0" w:after="0" w:line="252" w:lineRule="auto"/>
            </w:pPr>
            <w:r>
              <w:rPr>
                <w:rFonts w:ascii="Calibri" w:hAnsi="Calibri"/>
                <w:b w:val="0"/>
                <w:color w:val="222222"/>
                <w:sz w:val="19"/>
              </w:rPr>
              <w:t>Overall result</w:t>
            </w:r>
          </w:p>
        </w:tc>
        <w:tc>
          <w:tcPr>
            <w:tcW w:type="dxa" w:w="5760"/>
          </w:tcPr>
          <w:p>
            <w:pPr>
              <w:spacing w:before="0" w:after="0" w:line="252" w:lineRule="auto"/>
            </w:pPr>
            <w:r>
              <w:rPr>
                <w:rFonts w:ascii="Calibri" w:hAnsi="Calibri"/>
                <w:b w:val="0"/>
                <w:color w:val="222222"/>
                <w:sz w:val="19"/>
              </w:rPr>
              <w:t>PASS / FAIL</w:t>
            </w:r>
          </w:p>
        </w:tc>
      </w:tr>
      <w:tr>
        <w:tc>
          <w:tcPr>
            <w:tcW w:type="dxa" w:w="3600"/>
            <w:shd w:fill="F8FAFC" w:val="clear"/>
          </w:tcPr>
          <w:p>
            <w:pPr>
              <w:spacing w:before="0" w:after="0" w:line="252" w:lineRule="auto"/>
            </w:pPr>
            <w:r>
              <w:rPr>
                <w:rFonts w:ascii="Calibri" w:hAnsi="Calibri"/>
                <w:b w:val="0"/>
                <w:color w:val="222222"/>
                <w:sz w:val="19"/>
              </w:rPr>
              <w:t>Notes or follow-up owner</w:t>
            </w:r>
          </w:p>
        </w:tc>
        <w:tc>
          <w:tcPr>
            <w:tcW w:type="dxa" w:w="5760"/>
            <w:shd w:fill="F8FAFC" w:val="clear"/>
          </w:tcPr>
          <w:p>
            <w:pPr>
              <w:spacing w:before="0" w:after="0" w:line="252" w:lineRule="auto"/>
            </w:pPr>
            <w:r>
              <w:rPr>
                <w:rFonts w:ascii="Calibri" w:hAnsi="Calibri"/>
                <w:b w:val="0"/>
                <w:color w:val="222222"/>
                <w:sz w:val="19"/>
              </w:rPr>
            </w:r>
          </w:p>
        </w:tc>
      </w:tr>
    </w:tbl>
    <w:p>
      <w:pPr>
        <w:spacing w:after="0"/>
      </w:pPr>
    </w:p>
    <w:p>
      <w:pPr>
        <w:spacing w:before="160" w:after="200" w:line="264" w:lineRule="auto"/>
        <w:ind w:left="173" w:right="72"/>
        <w:shd w:fill="F4F6F9"/>
        <w:pBdr>
          <w:left w:val="single" w:sz="18" w:space="8" w:color="1F6D4A"/>
        </w:pBdr>
      </w:pPr>
      <w:r>
        <w:rPr>
          <w:rFonts w:ascii="Calibri" w:hAnsi="Calibri"/>
          <w:b/>
          <w:color w:val="1F6D4A"/>
          <w:sz w:val="21"/>
        </w:rPr>
        <w:t xml:space="preserve">Team handoff: </w:t>
      </w:r>
      <w:r>
        <w:rPr>
          <w:rFonts w:ascii="Calibri" w:hAnsi="Calibri"/>
          <w:color w:val="222222"/>
          <w:sz w:val="21"/>
        </w:rPr>
        <w:t>The UAT fix is ready for functional confirmation. Supply the dedicated folder URL, execute Section 6, confirm the primary Evaluation is updated and the control Evaluation is untouched, and return the completed execution record to the Salesforce team.</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color w:val="6B7280"/>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left"/>
      </w:tabs>
      <w:spacing w:after="0"/>
      <w:jc w:val="left"/>
    </w:pPr>
    <w:r>
      <w:rPr>
        <w:rFonts w:ascii="Calibri" w:hAnsi="Calibri"/>
        <w:b/>
        <w:color w:val="6B7280"/>
        <w:sz w:val="17"/>
      </w:rPr>
      <w:t>PROBO MEDICAL | SALESFORCE</w:t>
    </w:r>
    <w:r>
      <w:rPr>
        <w:rFonts w:ascii="Calibri" w:hAnsi="Calibri"/>
        <w:b/>
        <w:color w:val="6B7280"/>
        <w:sz w:val="17"/>
      </w:rPr>
      <w:tab/>
      <w:t>CASE 00010716 | UAT TEST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robomedical--uat.sandbox.lightning.force.com/lightning/r/ProductItem__c/a06jH0000004E2rQAE/view" TargetMode="External"/><Relationship Id="rId12" Type="http://schemas.openxmlformats.org/officeDocument/2006/relationships/hyperlink" Target="https://probomedical--uat.sandbox.lightning.force.com/lightning/r/RMA__c/a0mjH0000000BWXQA2/view" TargetMode="External"/><Relationship Id="rId13" Type="http://schemas.openxmlformats.org/officeDocument/2006/relationships/hyperlink" Target="https://probomedical--uat.sandbox.lightning.force.com/lightning/r/Evaluation_Natalie__c/a1tjH0000003n98QAA/view" TargetMode="External"/><Relationship Id="rId14" Type="http://schemas.openxmlformats.org/officeDocument/2006/relationships/hyperlink" Target="https://probomedical--uat.sandbox.lightning.force.com/lightning/r/Evaluation_Natalie__c/a1tjH0000003n99QAA/view" TargetMode="External"/><Relationship Id="rId15" Type="http://schemas.openxmlformats.org/officeDocument/2006/relationships/hyperlink" Target="https://probomedical--uat.sandbox.my.salesforce.com/apex/AuthenticationGoogleDrive?id=a1tjH0000003n98Q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00010716 UAT Photo Import Reproduction and Change Guide</dc:title>
  <dc:subject>AutoFast-style Probo Medical UAT reproduction, verification, and technical change guide</dc:subject>
  <dc:creator/>
  <cp:keywords>Salesforce, UAT, AutoFast, Google Drive, OAuth, Evaluation, photo import, regression</cp:keywords>
  <dc:description>Contains no deployment IDs, validation IDs, test-run IDs, images, or session credentials.</dc:description>
  <cp:lastModifiedBy/>
  <cp:revision>1</cp:revision>
  <dcterms:created xsi:type="dcterms:W3CDTF">2013-12-23T23:15:00Z</dcterms:created>
  <dcterms:modified xsi:type="dcterms:W3CDTF">2013-12-23T23:15:00Z</dcterms:modified>
  <cp:category/>
</cp:coreProperties>
</file>