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color w:val="0B2545"/>
          <w:sz w:val="46"/>
        </w:rPr>
        <w:t>GE CPC Parts Shipped Report</w:t>
      </w:r>
    </w:p>
    <w:p>
      <w:pPr>
        <w:spacing w:before="0" w:after="280" w:line="264" w:lineRule="auto"/>
      </w:pPr>
      <w:r>
        <w:rPr>
          <w:rFonts w:ascii="Calibri" w:hAnsi="Calibri"/>
          <w:color w:val="555555"/>
          <w:sz w:val="26"/>
        </w:rPr>
        <w:t>DevDO completion summary and Production approval request</w:t>
      </w:r>
    </w:p>
    <w:tbl>
      <w:tblPr>
        <w:tblW w:type="dxa" w:w="9360"/>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2040"/>
        <w:gridCol w:w="7320"/>
      </w:tblGrid>
      <w:tr>
        <w:trPr>
          <w:tblHeader w:val="true"/>
        </w:trPr>
        <w:tc>
          <w:tcPr>
            <w:tcW w:type="dxa" w:w="204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1"/>
              </w:rPr>
              <w:t>Prepared for</w:t>
            </w:r>
          </w:p>
        </w:tc>
        <w:tc>
          <w:tcPr>
            <w:tcW w:type="dxa" w:w="7320"/>
            <w:tcMar>
              <w:top w:w="80" w:type="dxa"/>
              <w:bottom w:w="80" w:type="dxa"/>
              <w:start w:w="120" w:type="dxa"/>
              <w:end w:w="120" w:type="dxa"/>
            </w:tcMar>
            <w:vAlign w:val="center"/>
          </w:tcPr>
          <w:p>
            <w:pPr>
              <w:spacing w:before="0" w:after="0" w:line="264" w:lineRule="auto"/>
            </w:pPr>
            <w:r/>
            <w:r>
              <w:rPr>
                <w:rFonts w:ascii="Calibri" w:hAnsi="Calibri"/>
                <w:b w:val="0"/>
                <w:color w:val="000000"/>
                <w:sz w:val="21"/>
              </w:rPr>
              <w:t>David</w:t>
            </w:r>
          </w:p>
        </w:tc>
      </w:tr>
      <w:tr>
        <w:tc>
          <w:tcPr>
            <w:tcW w:type="dxa" w:w="204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1"/>
              </w:rPr>
              <w:t>Status</w:t>
            </w:r>
          </w:p>
        </w:tc>
        <w:tc>
          <w:tcPr>
            <w:tcW w:type="dxa" w:w="7320"/>
            <w:tcMar>
              <w:top w:w="80" w:type="dxa"/>
              <w:bottom w:w="80" w:type="dxa"/>
              <w:start w:w="120" w:type="dxa"/>
              <w:end w:w="120" w:type="dxa"/>
            </w:tcMar>
            <w:vAlign w:val="center"/>
          </w:tcPr>
          <w:p>
            <w:pPr>
              <w:spacing w:before="0" w:after="0" w:line="264" w:lineRule="auto"/>
            </w:pPr>
            <w:r/>
            <w:r>
              <w:rPr>
                <w:rFonts w:ascii="Calibri" w:hAnsi="Calibri"/>
                <w:b w:val="0"/>
                <w:color w:val="000000"/>
                <w:sz w:val="21"/>
              </w:rPr>
              <w:t>DevDO completed; Production not changed</w:t>
            </w:r>
          </w:p>
        </w:tc>
      </w:tr>
      <w:tr>
        <w:tc>
          <w:tcPr>
            <w:tcW w:type="dxa" w:w="204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1"/>
              </w:rPr>
              <w:t>Date</w:t>
            </w:r>
          </w:p>
        </w:tc>
        <w:tc>
          <w:tcPr>
            <w:tcW w:type="dxa" w:w="7320"/>
            <w:tcMar>
              <w:top w:w="80" w:type="dxa"/>
              <w:bottom w:w="80" w:type="dxa"/>
              <w:start w:w="120" w:type="dxa"/>
              <w:end w:w="120" w:type="dxa"/>
            </w:tcMar>
            <w:vAlign w:val="center"/>
          </w:tcPr>
          <w:p>
            <w:pPr>
              <w:spacing w:before="0" w:after="0" w:line="264" w:lineRule="auto"/>
            </w:pPr>
            <w:r/>
            <w:r>
              <w:rPr>
                <w:rFonts w:ascii="Calibri" w:hAnsi="Calibri"/>
                <w:b w:val="0"/>
                <w:color w:val="000000"/>
                <w:sz w:val="21"/>
              </w:rPr>
              <w:t>September 3, 2026</w:t>
            </w:r>
          </w:p>
        </w:tc>
      </w:tr>
      <w:tr>
        <w:tc>
          <w:tcPr>
            <w:tcW w:type="dxa" w:w="204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1"/>
              </w:rPr>
              <w:t>DevDO report</w:t>
            </w:r>
          </w:p>
        </w:tc>
        <w:tc>
          <w:tcPr>
            <w:tcW w:type="dxa" w:w="7320"/>
            <w:tcMar>
              <w:top w:w="80" w:type="dxa"/>
              <w:bottom w:w="80" w:type="dxa"/>
              <w:start w:w="120" w:type="dxa"/>
              <w:end w:w="120" w:type="dxa"/>
            </w:tcMar>
            <w:vAlign w:val="center"/>
          </w:tcPr>
          <w:p>
            <w:pPr>
              <w:spacing w:before="0" w:after="0" w:line="264" w:lineRule="auto"/>
            </w:pPr>
            <w:r/>
            <w:r>
              <w:rPr>
                <w:rFonts w:ascii="Calibri" w:hAnsi="Calibri"/>
                <w:b w:val="0"/>
                <w:color w:val="000000"/>
                <w:sz w:val="21"/>
              </w:rPr>
              <w:t>GE CPC Parts Shipped</w:t>
            </w:r>
          </w:p>
        </w:tc>
      </w:tr>
      <w:tr>
        <w:tc>
          <w:tcPr>
            <w:tcW w:type="dxa" w:w="204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1"/>
              </w:rPr>
              <w:t>Folder</w:t>
            </w:r>
          </w:p>
        </w:tc>
        <w:tc>
          <w:tcPr>
            <w:tcW w:type="dxa" w:w="7320"/>
            <w:tcMar>
              <w:top w:w="80" w:type="dxa"/>
              <w:bottom w:w="80" w:type="dxa"/>
              <w:start w:w="120" w:type="dxa"/>
              <w:end w:w="120" w:type="dxa"/>
            </w:tcMar>
            <w:vAlign w:val="center"/>
          </w:tcPr>
          <w:p>
            <w:pPr>
              <w:spacing w:before="0" w:after="0" w:line="264" w:lineRule="auto"/>
            </w:pPr>
            <w:r/>
            <w:r>
              <w:rPr>
                <w:rFonts w:ascii="Calibri" w:hAnsi="Calibri"/>
                <w:b w:val="0"/>
                <w:color w:val="000000"/>
                <w:sz w:val="21"/>
              </w:rPr>
              <w:t>Service Operations Reports</w:t>
            </w:r>
          </w:p>
        </w:tc>
      </w:tr>
      <w:tr>
        <w:tc>
          <w:tcPr>
            <w:tcW w:type="dxa" w:w="204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1"/>
              </w:rPr>
              <w:t>Report type</w:t>
            </w:r>
          </w:p>
        </w:tc>
        <w:tc>
          <w:tcPr>
            <w:tcW w:type="dxa" w:w="7320"/>
            <w:tcMar>
              <w:top w:w="80" w:type="dxa"/>
              <w:bottom w:w="80" w:type="dxa"/>
              <w:start w:w="120" w:type="dxa"/>
              <w:end w:w="120" w:type="dxa"/>
            </w:tcMar>
            <w:vAlign w:val="center"/>
          </w:tcPr>
          <w:p>
            <w:pPr>
              <w:spacing w:before="0" w:after="0" w:line="264" w:lineRule="auto"/>
            </w:pPr>
            <w:r/>
            <w:r>
              <w:rPr>
                <w:rFonts w:ascii="Calibri" w:hAnsi="Calibri"/>
                <w:b w:val="0"/>
                <w:color w:val="000000"/>
                <w:sz w:val="21"/>
              </w:rPr>
              <w:t>Work Orders with Work Order Line items2</w:t>
            </w:r>
          </w:p>
        </w:tc>
      </w:tr>
    </w:tbl>
    <w:p>
      <w:pPr>
        <w:spacing w:after="60"/>
      </w:pPr>
    </w:p>
    <w:tbl>
      <w:tblPr>
        <w:tblW w:type="dxa" w:w="9360"/>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rPr>
          <w:tblHeader w:val="true"/>
        </w:trPr>
        <w:tc>
          <w:tcPr>
            <w:tcW w:type="dxa" w:w="9360"/>
            <w:tcMar>
              <w:top w:w="80" w:type="dxa"/>
              <w:bottom w:w="80" w:type="dxa"/>
              <w:start w:w="120" w:type="dxa"/>
              <w:end w:w="120" w:type="dxa"/>
            </w:tcMar>
            <w:shd w:fill="F4F6F9"/>
          </w:tcPr>
          <w:p>
            <w:pPr>
              <w:spacing w:before="0" w:after="60" w:line="264" w:lineRule="auto"/>
            </w:pPr>
            <w:r/>
            <w:r>
              <w:rPr>
                <w:rFonts w:ascii="Calibri" w:hAnsi="Calibri"/>
                <w:b/>
                <w:color w:val="0B2545"/>
                <w:sz w:val="23"/>
              </w:rPr>
              <w:t>Decision Needed</w:t>
            </w:r>
          </w:p>
          <w:p>
            <w:pPr>
              <w:spacing w:before="0" w:after="0" w:line="264" w:lineRule="auto"/>
            </w:pPr>
            <w:r>
              <w:rPr>
                <w:rFonts w:ascii="Calibri" w:hAnsi="Calibri"/>
                <w:color w:val="000000"/>
                <w:sz w:val="21"/>
              </w:rPr>
              <w:t>The report build is complete in DevDO. Approval is needed before creating, deploying, saving, or changing anything in Production.</w:t>
            </w:r>
          </w:p>
        </w:tc>
      </w:tr>
    </w:tbl>
    <w:p>
      <w:pPr>
        <w:spacing w:after="80"/>
      </w:pPr>
    </w:p>
    <w:p>
      <w:pPr>
        <w:pStyle w:val="Heading1"/>
      </w:pPr>
      <w:r>
        <w:t>What Was Done</w:t>
      </w:r>
    </w:p>
    <w:p>
      <w:pPr>
        <w:spacing w:before="0" w:after="120" w:line="264" w:lineRule="auto"/>
      </w:pPr>
      <w:r>
        <w:rPr>
          <w:rFonts w:ascii="Calibri" w:hAnsi="Calibri"/>
        </w:rPr>
        <w:t>Created a new Salesforce report in Sandbox (DevDO) named GE CPC Parts Shipped. The report opens successfully in DevDO and is ready for business review.</w:t>
      </w:r>
    </w:p>
    <w:tbl>
      <w:tblPr>
        <w:tblW w:type="dxa" w:w="9360"/>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2040"/>
        <w:gridCol w:w="7320"/>
      </w:tblGrid>
      <w:tr>
        <w:trPr>
          <w:tblHeader w:val="true"/>
        </w:trPr>
        <w:tc>
          <w:tcPr>
            <w:tcW w:type="dxa" w:w="204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1"/>
              </w:rPr>
              <w:t>DevDO report ID</w:t>
            </w:r>
          </w:p>
        </w:tc>
        <w:tc>
          <w:tcPr>
            <w:tcW w:type="dxa" w:w="7320"/>
            <w:tcMar>
              <w:top w:w="80" w:type="dxa"/>
              <w:bottom w:w="80" w:type="dxa"/>
              <w:start w:w="120" w:type="dxa"/>
              <w:end w:w="120" w:type="dxa"/>
            </w:tcMar>
            <w:vAlign w:val="center"/>
          </w:tcPr>
          <w:p>
            <w:pPr>
              <w:spacing w:before="0" w:after="0" w:line="264" w:lineRule="auto"/>
            </w:pPr>
            <w:r/>
            <w:r>
              <w:rPr>
                <w:rFonts w:ascii="Calibri" w:hAnsi="Calibri"/>
                <w:b w:val="0"/>
                <w:color w:val="000000"/>
                <w:sz w:val="21"/>
              </w:rPr>
              <w:t>00OiK0000000k9JUAQ</w:t>
            </w:r>
          </w:p>
        </w:tc>
      </w:tr>
      <w:tr>
        <w:tc>
          <w:tcPr>
            <w:tcW w:type="dxa" w:w="204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1"/>
              </w:rPr>
              <w:t>Report format</w:t>
            </w:r>
          </w:p>
        </w:tc>
        <w:tc>
          <w:tcPr>
            <w:tcW w:type="dxa" w:w="7320"/>
            <w:tcMar>
              <w:top w:w="80" w:type="dxa"/>
              <w:bottom w:w="80" w:type="dxa"/>
              <w:start w:w="120" w:type="dxa"/>
              <w:end w:w="120" w:type="dxa"/>
            </w:tcMar>
            <w:vAlign w:val="center"/>
          </w:tcPr>
          <w:p>
            <w:pPr>
              <w:spacing w:before="0" w:after="0" w:line="264" w:lineRule="auto"/>
            </w:pPr>
            <w:r/>
            <w:r>
              <w:rPr>
                <w:rFonts w:ascii="Calibri" w:hAnsi="Calibri"/>
                <w:b w:val="0"/>
                <w:color w:val="000000"/>
                <w:sz w:val="21"/>
              </w:rPr>
              <w:t>Tabular</w:t>
            </w:r>
          </w:p>
        </w:tc>
      </w:tr>
      <w:tr>
        <w:tc>
          <w:tcPr>
            <w:tcW w:type="dxa" w:w="204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1"/>
              </w:rPr>
              <w:t>Primary purpose</w:t>
            </w:r>
          </w:p>
        </w:tc>
        <w:tc>
          <w:tcPr>
            <w:tcW w:type="dxa" w:w="7320"/>
            <w:tcMar>
              <w:top w:w="80" w:type="dxa"/>
              <w:bottom w:w="80" w:type="dxa"/>
              <w:start w:w="120" w:type="dxa"/>
              <w:end w:w="120" w:type="dxa"/>
            </w:tcMar>
            <w:vAlign w:val="center"/>
          </w:tcPr>
          <w:p>
            <w:pPr>
              <w:spacing w:before="0" w:after="0" w:line="264" w:lineRule="auto"/>
            </w:pPr>
            <w:r/>
            <w:r>
              <w:rPr>
                <w:rFonts w:ascii="Calibri" w:hAnsi="Calibri"/>
                <w:b w:val="0"/>
                <w:color w:val="000000"/>
                <w:sz w:val="21"/>
              </w:rPr>
              <w:t>Track parts shipped against the six GE CPC opportunities by system serial, asset, part, quantity, and cost.</w:t>
            </w:r>
          </w:p>
        </w:tc>
      </w:tr>
    </w:tbl>
    <w:p>
      <w:pPr>
        <w:spacing w:after="60"/>
      </w:pPr>
    </w:p>
    <w:p>
      <w:pPr>
        <w:spacing w:before="0" w:after="160" w:line="264" w:lineRule="auto"/>
      </w:pPr>
      <w:r>
        <w:rPr>
          <w:rFonts w:ascii="Calibri" w:hAnsi="Calibri"/>
          <w:b/>
        </w:rPr>
        <w:t xml:space="preserve">DevDO link: </w:t>
      </w:r>
      <w:hyperlink r:id="rId10">
        <w:r>
          <w:rPr>
            <w:color w:val="0563C1"/>
            <w:u w:val="single"/>
          </w:rPr>
          <w:t>Open GE CPC Parts Shipped report</w:t>
        </w:r>
      </w:hyperlink>
    </w:p>
    <w:p>
      <w:pPr>
        <w:pStyle w:val="Heading1"/>
      </w:pPr>
      <w:r>
        <w:t>Report Scope</w:t>
      </w:r>
    </w:p>
    <w:tbl>
      <w:tblPr>
        <w:tblW w:type="dxa" w:w="9360"/>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2700"/>
        <w:gridCol w:w="6660"/>
      </w:tblGrid>
      <w:tr>
        <w:trPr>
          <w:tblHeader w:val="true"/>
        </w:trPr>
        <w:tc>
          <w:tcPr>
            <w:tcW w:type="dxa" w:w="270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0"/>
              </w:rPr>
              <w:t>Configured Item</w:t>
            </w:r>
          </w:p>
        </w:tc>
        <w:tc>
          <w:tcPr>
            <w:tcW w:type="dxa" w:w="666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0"/>
              </w:rPr>
              <w:t>Value</w:t>
            </w:r>
          </w:p>
        </w:tc>
      </w:tr>
      <w:tr>
        <w:tc>
          <w:tcPr>
            <w:tcW w:type="dxa" w:w="2700"/>
            <w:vAlign w:val="center"/>
            <w:tcMar>
              <w:top w:w="80" w:type="dxa"/>
              <w:bottom w:w="80" w:type="dxa"/>
              <w:start w:w="120" w:type="dxa"/>
              <w:end w:w="120" w:type="dxa"/>
            </w:tcMar>
          </w:tcPr>
          <w:p>
            <w:pPr>
              <w:spacing w:before="0" w:after="0" w:line="264" w:lineRule="auto"/>
            </w:pPr>
            <w:r/>
            <w:r>
              <w:rPr>
                <w:rFonts w:ascii="Calibri" w:hAnsi="Calibri"/>
                <w:b w:val="0"/>
                <w:color w:val="000000"/>
                <w:sz w:val="20"/>
              </w:rPr>
              <w:t>Account filter</w:t>
            </w:r>
          </w:p>
        </w:tc>
        <w:tc>
          <w:tcPr>
            <w:tcW w:type="dxa" w:w="6660"/>
            <w:vAlign w:val="center"/>
            <w:tcMar>
              <w:top w:w="80" w:type="dxa"/>
              <w:bottom w:w="80" w:type="dxa"/>
              <w:start w:w="120" w:type="dxa"/>
              <w:end w:w="120" w:type="dxa"/>
            </w:tcMar>
          </w:tcPr>
          <w:p>
            <w:pPr>
              <w:spacing w:before="0" w:after="0" w:line="264" w:lineRule="auto"/>
            </w:pPr>
            <w:r/>
            <w:r>
              <w:rPr>
                <w:rFonts w:ascii="Calibri" w:hAnsi="Calibri"/>
                <w:b w:val="0"/>
                <w:color w:val="000000"/>
                <w:sz w:val="20"/>
              </w:rPr>
              <w:t>GE PRECISION HEALTHCARE LLC</w:t>
            </w:r>
          </w:p>
        </w:tc>
      </w:tr>
      <w:tr>
        <w:tc>
          <w:tcPr>
            <w:tcW w:type="dxa" w:w="2700"/>
            <w:vAlign w:val="center"/>
            <w:tcMar>
              <w:top w:w="80" w:type="dxa"/>
              <w:bottom w:w="80" w:type="dxa"/>
              <w:start w:w="120" w:type="dxa"/>
              <w:end w:w="120" w:type="dxa"/>
            </w:tcMar>
          </w:tcPr>
          <w:p>
            <w:pPr>
              <w:spacing w:before="0" w:after="0" w:line="264" w:lineRule="auto"/>
            </w:pPr>
            <w:r/>
            <w:r>
              <w:rPr>
                <w:rFonts w:ascii="Calibri" w:hAnsi="Calibri"/>
                <w:b w:val="0"/>
                <w:color w:val="000000"/>
                <w:sz w:val="20"/>
              </w:rPr>
              <w:t>Opportunity filter</w:t>
            </w:r>
          </w:p>
        </w:tc>
        <w:tc>
          <w:tcPr>
            <w:tcW w:type="dxa" w:w="6660"/>
            <w:vAlign w:val="center"/>
            <w:tcMar>
              <w:top w:w="80" w:type="dxa"/>
              <w:bottom w:w="80" w:type="dxa"/>
              <w:start w:w="120" w:type="dxa"/>
              <w:end w:w="120" w:type="dxa"/>
            </w:tcMar>
          </w:tcPr>
          <w:p>
            <w:pPr>
              <w:spacing w:before="0" w:after="0" w:line="264" w:lineRule="auto"/>
            </w:pPr>
            <w:r/>
            <w:r>
              <w:rPr>
                <w:rFonts w:ascii="Calibri" w:hAnsi="Calibri"/>
                <w:b w:val="0"/>
                <w:color w:val="000000"/>
                <w:sz w:val="20"/>
              </w:rPr>
              <w:t>CPC - PHILIPS EPIQ</w:t>
            </w:r>
          </w:p>
        </w:tc>
      </w:tr>
      <w:tr>
        <w:tc>
          <w:tcPr>
            <w:tcW w:type="dxa" w:w="2700"/>
            <w:vAlign w:val="center"/>
            <w:tcMar>
              <w:top w:w="80" w:type="dxa"/>
              <w:bottom w:w="80" w:type="dxa"/>
              <w:start w:w="120" w:type="dxa"/>
              <w:end w:w="120" w:type="dxa"/>
            </w:tcMar>
          </w:tcPr>
          <w:p>
            <w:pPr>
              <w:spacing w:before="0" w:after="0" w:line="264" w:lineRule="auto"/>
            </w:pPr>
            <w:r/>
            <w:r>
              <w:rPr>
                <w:rFonts w:ascii="Calibri" w:hAnsi="Calibri"/>
                <w:b w:val="0"/>
                <w:color w:val="000000"/>
                <w:sz w:val="20"/>
              </w:rPr>
              <w:t>Customer PO Number filter</w:t>
            </w:r>
          </w:p>
        </w:tc>
        <w:tc>
          <w:tcPr>
            <w:tcW w:type="dxa" w:w="6660"/>
            <w:vAlign w:val="center"/>
            <w:tcMar>
              <w:top w:w="80" w:type="dxa"/>
              <w:bottom w:w="80" w:type="dxa"/>
              <w:start w:w="120" w:type="dxa"/>
              <w:end w:w="120" w:type="dxa"/>
            </w:tcMar>
          </w:tcPr>
          <w:p>
            <w:pPr>
              <w:spacing w:before="0" w:after="0" w:line="264" w:lineRule="auto"/>
            </w:pPr>
            <w:r/>
            <w:r>
              <w:rPr>
                <w:rFonts w:ascii="Calibri" w:hAnsi="Calibri"/>
                <w:b w:val="0"/>
                <w:color w:val="000000"/>
                <w:sz w:val="20"/>
              </w:rPr>
              <w:t>302808083, 302808091, 302808107, 302808142, 302808182, 302808186</w:t>
            </w:r>
          </w:p>
        </w:tc>
      </w:tr>
      <w:tr>
        <w:tc>
          <w:tcPr>
            <w:tcW w:type="dxa" w:w="2700"/>
            <w:vAlign w:val="center"/>
            <w:tcMar>
              <w:top w:w="80" w:type="dxa"/>
              <w:bottom w:w="80" w:type="dxa"/>
              <w:start w:w="120" w:type="dxa"/>
              <w:end w:w="120" w:type="dxa"/>
            </w:tcMar>
          </w:tcPr>
          <w:p>
            <w:pPr>
              <w:spacing w:before="0" w:after="0" w:line="264" w:lineRule="auto"/>
            </w:pPr>
            <w:r/>
            <w:r>
              <w:rPr>
                <w:rFonts w:ascii="Calibri" w:hAnsi="Calibri"/>
                <w:b w:val="0"/>
                <w:color w:val="000000"/>
                <w:sz w:val="20"/>
              </w:rPr>
              <w:t>Ship Date filter</w:t>
            </w:r>
          </w:p>
        </w:tc>
        <w:tc>
          <w:tcPr>
            <w:tcW w:type="dxa" w:w="6660"/>
            <w:vAlign w:val="center"/>
            <w:tcMar>
              <w:top w:w="80" w:type="dxa"/>
              <w:bottom w:w="80" w:type="dxa"/>
              <w:start w:w="120" w:type="dxa"/>
              <w:end w:w="120" w:type="dxa"/>
            </w:tcMar>
          </w:tcPr>
          <w:p>
            <w:pPr>
              <w:spacing w:before="0" w:after="0" w:line="264" w:lineRule="auto"/>
            </w:pPr>
            <w:r/>
            <w:r>
              <w:rPr>
                <w:rFonts w:ascii="Calibri" w:hAnsi="Calibri"/>
                <w:b w:val="0"/>
                <w:color w:val="000000"/>
                <w:sz w:val="20"/>
              </w:rPr>
              <w:t>Current Fiscal Year</w:t>
            </w:r>
          </w:p>
        </w:tc>
      </w:tr>
      <w:tr>
        <w:tc>
          <w:tcPr>
            <w:tcW w:type="dxa" w:w="2700"/>
            <w:vAlign w:val="center"/>
            <w:tcMar>
              <w:top w:w="80" w:type="dxa"/>
              <w:bottom w:w="80" w:type="dxa"/>
              <w:start w:w="120" w:type="dxa"/>
              <w:end w:w="120" w:type="dxa"/>
            </w:tcMar>
          </w:tcPr>
          <w:p>
            <w:pPr>
              <w:spacing w:before="0" w:after="0" w:line="264" w:lineRule="auto"/>
            </w:pPr>
            <w:r/>
            <w:r>
              <w:rPr>
                <w:rFonts w:ascii="Calibri" w:hAnsi="Calibri"/>
                <w:b w:val="0"/>
                <w:color w:val="000000"/>
                <w:sz w:val="20"/>
              </w:rPr>
              <w:t>Primary objects</w:t>
            </w:r>
          </w:p>
        </w:tc>
        <w:tc>
          <w:tcPr>
            <w:tcW w:type="dxa" w:w="6660"/>
            <w:vAlign w:val="center"/>
            <w:tcMar>
              <w:top w:w="80" w:type="dxa"/>
              <w:bottom w:w="80" w:type="dxa"/>
              <w:start w:w="120" w:type="dxa"/>
              <w:end w:w="120" w:type="dxa"/>
            </w:tcMar>
          </w:tcPr>
          <w:p>
            <w:pPr>
              <w:spacing w:before="0" w:after="0" w:line="264" w:lineRule="auto"/>
            </w:pPr>
            <w:r/>
            <w:r>
              <w:rPr>
                <w:rFonts w:ascii="Calibri" w:hAnsi="Calibri"/>
                <w:b w:val="0"/>
                <w:color w:val="000000"/>
                <w:sz w:val="20"/>
              </w:rPr>
              <w:t>Work Orders with Work Order Line Items</w:t>
            </w:r>
          </w:p>
        </w:tc>
      </w:tr>
    </w:tbl>
    <w:p>
      <w:pPr>
        <w:spacing w:after="60"/>
      </w:pPr>
    </w:p>
    <w:p>
      <w:pPr>
        <w:pStyle w:val="Heading1"/>
      </w:pPr>
      <w:r>
        <w:t>Columns Included</w:t>
      </w:r>
    </w:p>
    <w:tbl>
      <w:tblPr>
        <w:tblW w:type="dxa" w:w="9360"/>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3000"/>
        <w:gridCol w:w="6360"/>
      </w:tblGrid>
      <w:tr>
        <w:trPr>
          <w:tblHeader w:val="true"/>
        </w:trPr>
        <w:tc>
          <w:tcPr>
            <w:tcW w:type="dxa" w:w="300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0"/>
              </w:rPr>
              <w:t>Business Need</w:t>
            </w:r>
          </w:p>
        </w:tc>
        <w:tc>
          <w:tcPr>
            <w:tcW w:type="dxa" w:w="636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0"/>
              </w:rPr>
              <w:t>Report Column</w:t>
            </w:r>
          </w:p>
        </w:tc>
      </w:tr>
      <w:tr>
        <w:tc>
          <w:tcPr>
            <w:tcW w:type="dxa" w:w="3000"/>
            <w:vAlign w:val="center"/>
            <w:tcMar>
              <w:top w:w="80" w:type="dxa"/>
              <w:bottom w:w="80" w:type="dxa"/>
              <w:start w:w="120" w:type="dxa"/>
              <w:end w:w="120" w:type="dxa"/>
            </w:tcMar>
          </w:tcPr>
          <w:p>
            <w:pPr>
              <w:spacing w:before="0" w:after="0" w:line="264" w:lineRule="auto"/>
            </w:pPr>
            <w:r/>
            <w:r>
              <w:rPr>
                <w:rFonts w:ascii="Calibri" w:hAnsi="Calibri"/>
                <w:b w:val="0"/>
                <w:color w:val="000000"/>
                <w:sz w:val="20"/>
              </w:rPr>
              <w:t>Work order reference</w:t>
            </w:r>
          </w:p>
        </w:tc>
        <w:tc>
          <w:tcPr>
            <w:tcW w:type="dxa" w:w="6360"/>
            <w:vAlign w:val="center"/>
            <w:tcMar>
              <w:top w:w="80" w:type="dxa"/>
              <w:bottom w:w="80" w:type="dxa"/>
              <w:start w:w="120" w:type="dxa"/>
              <w:end w:w="120" w:type="dxa"/>
            </w:tcMar>
          </w:tcPr>
          <w:p>
            <w:pPr>
              <w:spacing w:before="0" w:after="0" w:line="264" w:lineRule="auto"/>
            </w:pPr>
            <w:r/>
            <w:r>
              <w:rPr>
                <w:rFonts w:ascii="Calibri" w:hAnsi="Calibri"/>
                <w:b w:val="0"/>
                <w:color w:val="000000"/>
                <w:sz w:val="20"/>
              </w:rPr>
              <w:t>Work Order Number</w:t>
            </w:r>
          </w:p>
        </w:tc>
      </w:tr>
      <w:tr>
        <w:tc>
          <w:tcPr>
            <w:tcW w:type="dxa" w:w="3000"/>
            <w:vAlign w:val="center"/>
            <w:tcMar>
              <w:top w:w="80" w:type="dxa"/>
              <w:bottom w:w="80" w:type="dxa"/>
              <w:start w:w="120" w:type="dxa"/>
              <w:end w:w="120" w:type="dxa"/>
            </w:tcMar>
          </w:tcPr>
          <w:p>
            <w:pPr>
              <w:spacing w:before="0" w:after="0" w:line="264" w:lineRule="auto"/>
            </w:pPr>
            <w:r/>
            <w:r>
              <w:rPr>
                <w:rFonts w:ascii="Calibri" w:hAnsi="Calibri"/>
                <w:b w:val="0"/>
                <w:color w:val="000000"/>
                <w:sz w:val="20"/>
              </w:rPr>
              <w:t>GE CPC opportunity</w:t>
            </w:r>
          </w:p>
        </w:tc>
        <w:tc>
          <w:tcPr>
            <w:tcW w:type="dxa" w:w="6360"/>
            <w:vAlign w:val="center"/>
            <w:tcMar>
              <w:top w:w="80" w:type="dxa"/>
              <w:bottom w:w="80" w:type="dxa"/>
              <w:start w:w="120" w:type="dxa"/>
              <w:end w:w="120" w:type="dxa"/>
            </w:tcMar>
          </w:tcPr>
          <w:p>
            <w:pPr>
              <w:spacing w:before="0" w:after="0" w:line="264" w:lineRule="auto"/>
            </w:pPr>
            <w:r/>
            <w:r>
              <w:rPr>
                <w:rFonts w:ascii="Calibri" w:hAnsi="Calibri"/>
                <w:b w:val="0"/>
                <w:color w:val="000000"/>
                <w:sz w:val="20"/>
              </w:rPr>
              <w:t>Opportunity Name</w:t>
            </w:r>
          </w:p>
        </w:tc>
      </w:tr>
      <w:tr>
        <w:tc>
          <w:tcPr>
            <w:tcW w:type="dxa" w:w="3000"/>
            <w:vAlign w:val="center"/>
            <w:tcMar>
              <w:top w:w="80" w:type="dxa"/>
              <w:bottom w:w="80" w:type="dxa"/>
              <w:start w:w="120" w:type="dxa"/>
              <w:end w:w="120" w:type="dxa"/>
            </w:tcMar>
          </w:tcPr>
          <w:p>
            <w:pPr>
              <w:spacing w:before="0" w:after="0" w:line="264" w:lineRule="auto"/>
            </w:pPr>
            <w:r/>
            <w:r>
              <w:rPr>
                <w:rFonts w:ascii="Calibri" w:hAnsi="Calibri"/>
                <w:b w:val="0"/>
                <w:color w:val="000000"/>
                <w:sz w:val="20"/>
              </w:rPr>
              <w:t>Contract traceability</w:t>
            </w:r>
          </w:p>
        </w:tc>
        <w:tc>
          <w:tcPr>
            <w:tcW w:type="dxa" w:w="6360"/>
            <w:vAlign w:val="center"/>
            <w:tcMar>
              <w:top w:w="80" w:type="dxa"/>
              <w:bottom w:w="80" w:type="dxa"/>
              <w:start w:w="120" w:type="dxa"/>
              <w:end w:w="120" w:type="dxa"/>
            </w:tcMar>
          </w:tcPr>
          <w:p>
            <w:pPr>
              <w:spacing w:before="0" w:after="0" w:line="264" w:lineRule="auto"/>
            </w:pPr>
            <w:r/>
            <w:r>
              <w:rPr>
                <w:rFonts w:ascii="Calibri" w:hAnsi="Calibri"/>
                <w:b w:val="0"/>
                <w:color w:val="000000"/>
                <w:sz w:val="20"/>
              </w:rPr>
              <w:t>Service Contract</w:t>
            </w:r>
          </w:p>
        </w:tc>
      </w:tr>
      <w:tr>
        <w:tc>
          <w:tcPr>
            <w:tcW w:type="dxa" w:w="3000"/>
            <w:vAlign w:val="center"/>
            <w:tcMar>
              <w:top w:w="80" w:type="dxa"/>
              <w:bottom w:w="80" w:type="dxa"/>
              <w:start w:w="120" w:type="dxa"/>
              <w:end w:w="120" w:type="dxa"/>
            </w:tcMar>
          </w:tcPr>
          <w:p>
            <w:pPr>
              <w:spacing w:before="0" w:after="0" w:line="264" w:lineRule="auto"/>
            </w:pPr>
            <w:r/>
            <w:r>
              <w:rPr>
                <w:rFonts w:ascii="Calibri" w:hAnsi="Calibri"/>
                <w:b w:val="0"/>
                <w:color w:val="000000"/>
                <w:sz w:val="20"/>
              </w:rPr>
              <w:t>GE PO tracking</w:t>
            </w:r>
          </w:p>
        </w:tc>
        <w:tc>
          <w:tcPr>
            <w:tcW w:type="dxa" w:w="6360"/>
            <w:vAlign w:val="center"/>
            <w:tcMar>
              <w:top w:w="80" w:type="dxa"/>
              <w:bottom w:w="80" w:type="dxa"/>
              <w:start w:w="120" w:type="dxa"/>
              <w:end w:w="120" w:type="dxa"/>
            </w:tcMar>
          </w:tcPr>
          <w:p>
            <w:pPr>
              <w:spacing w:before="0" w:after="0" w:line="264" w:lineRule="auto"/>
            </w:pPr>
            <w:r/>
            <w:r>
              <w:rPr>
                <w:rFonts w:ascii="Calibri" w:hAnsi="Calibri"/>
                <w:b w:val="0"/>
                <w:color w:val="000000"/>
                <w:sz w:val="20"/>
              </w:rPr>
              <w:t>Customer PO Number</w:t>
            </w:r>
          </w:p>
        </w:tc>
      </w:tr>
      <w:tr>
        <w:tc>
          <w:tcPr>
            <w:tcW w:type="dxa" w:w="3000"/>
            <w:vAlign w:val="center"/>
            <w:tcMar>
              <w:top w:w="80" w:type="dxa"/>
              <w:bottom w:w="80" w:type="dxa"/>
              <w:start w:w="120" w:type="dxa"/>
              <w:end w:w="120" w:type="dxa"/>
            </w:tcMar>
          </w:tcPr>
          <w:p>
            <w:pPr>
              <w:spacing w:before="0" w:after="0" w:line="264" w:lineRule="auto"/>
            </w:pPr>
            <w:r/>
            <w:r>
              <w:rPr>
                <w:rFonts w:ascii="Calibri" w:hAnsi="Calibri"/>
                <w:b w:val="0"/>
                <w:color w:val="000000"/>
                <w:sz w:val="20"/>
              </w:rPr>
              <w:t>Shipment timing</w:t>
            </w:r>
          </w:p>
        </w:tc>
        <w:tc>
          <w:tcPr>
            <w:tcW w:type="dxa" w:w="6360"/>
            <w:vAlign w:val="center"/>
            <w:tcMar>
              <w:top w:w="80" w:type="dxa"/>
              <w:bottom w:w="80" w:type="dxa"/>
              <w:start w:w="120" w:type="dxa"/>
              <w:end w:w="120" w:type="dxa"/>
            </w:tcMar>
          </w:tcPr>
          <w:p>
            <w:pPr>
              <w:spacing w:before="0" w:after="0" w:line="264" w:lineRule="auto"/>
            </w:pPr>
            <w:r/>
            <w:r>
              <w:rPr>
                <w:rFonts w:ascii="Calibri" w:hAnsi="Calibri"/>
                <w:b w:val="0"/>
                <w:color w:val="000000"/>
                <w:sz w:val="20"/>
              </w:rPr>
              <w:t>Ship Date</w:t>
            </w:r>
          </w:p>
        </w:tc>
      </w:tr>
      <w:tr>
        <w:tc>
          <w:tcPr>
            <w:tcW w:type="dxa" w:w="3000"/>
            <w:vAlign w:val="center"/>
            <w:tcMar>
              <w:top w:w="80" w:type="dxa"/>
              <w:bottom w:w="80" w:type="dxa"/>
              <w:start w:w="120" w:type="dxa"/>
              <w:end w:w="120" w:type="dxa"/>
            </w:tcMar>
          </w:tcPr>
          <w:p>
            <w:pPr>
              <w:spacing w:before="0" w:after="0" w:line="264" w:lineRule="auto"/>
            </w:pPr>
            <w:r/>
            <w:r>
              <w:rPr>
                <w:rFonts w:ascii="Calibri" w:hAnsi="Calibri"/>
                <w:b w:val="0"/>
                <w:color w:val="000000"/>
                <w:sz w:val="20"/>
              </w:rPr>
              <w:t>GE system serial</w:t>
            </w:r>
          </w:p>
        </w:tc>
        <w:tc>
          <w:tcPr>
            <w:tcW w:type="dxa" w:w="6360"/>
            <w:vAlign w:val="center"/>
            <w:tcMar>
              <w:top w:w="80" w:type="dxa"/>
              <w:bottom w:w="80" w:type="dxa"/>
              <w:start w:w="120" w:type="dxa"/>
              <w:end w:w="120" w:type="dxa"/>
            </w:tcMar>
          </w:tcPr>
          <w:p>
            <w:pPr>
              <w:spacing w:before="0" w:after="0" w:line="264" w:lineRule="auto"/>
            </w:pPr>
            <w:r/>
            <w:r>
              <w:rPr>
                <w:rFonts w:ascii="Calibri" w:hAnsi="Calibri"/>
                <w:b w:val="0"/>
                <w:color w:val="000000"/>
                <w:sz w:val="20"/>
              </w:rPr>
              <w:t>Asset Serial Number</w:t>
            </w:r>
          </w:p>
        </w:tc>
      </w:tr>
      <w:tr>
        <w:tc>
          <w:tcPr>
            <w:tcW w:type="dxa" w:w="3000"/>
            <w:vAlign w:val="center"/>
            <w:tcMar>
              <w:top w:w="80" w:type="dxa"/>
              <w:bottom w:w="80" w:type="dxa"/>
              <w:start w:w="120" w:type="dxa"/>
              <w:end w:w="120" w:type="dxa"/>
            </w:tcMar>
          </w:tcPr>
          <w:p>
            <w:pPr>
              <w:spacing w:before="0" w:after="0" w:line="264" w:lineRule="auto"/>
            </w:pPr>
            <w:r/>
            <w:r>
              <w:rPr>
                <w:rFonts w:ascii="Calibri" w:hAnsi="Calibri"/>
                <w:b w:val="0"/>
                <w:color w:val="000000"/>
                <w:sz w:val="20"/>
              </w:rPr>
              <w:t>Asset traceability</w:t>
            </w:r>
          </w:p>
        </w:tc>
        <w:tc>
          <w:tcPr>
            <w:tcW w:type="dxa" w:w="6360"/>
            <w:vAlign w:val="center"/>
            <w:tcMar>
              <w:top w:w="80" w:type="dxa"/>
              <w:bottom w:w="80" w:type="dxa"/>
              <w:start w:w="120" w:type="dxa"/>
              <w:end w:w="120" w:type="dxa"/>
            </w:tcMar>
          </w:tcPr>
          <w:p>
            <w:pPr>
              <w:spacing w:before="0" w:after="0" w:line="264" w:lineRule="auto"/>
            </w:pPr>
            <w:r/>
            <w:r>
              <w:rPr>
                <w:rFonts w:ascii="Calibri" w:hAnsi="Calibri"/>
                <w:b w:val="0"/>
                <w:color w:val="000000"/>
                <w:sz w:val="20"/>
              </w:rPr>
              <w:t>Asset Number</w:t>
            </w:r>
          </w:p>
        </w:tc>
      </w:tr>
      <w:tr>
        <w:tc>
          <w:tcPr>
            <w:tcW w:type="dxa" w:w="3000"/>
            <w:vAlign w:val="center"/>
            <w:tcMar>
              <w:top w:w="80" w:type="dxa"/>
              <w:bottom w:w="80" w:type="dxa"/>
              <w:start w:w="120" w:type="dxa"/>
              <w:end w:w="120" w:type="dxa"/>
            </w:tcMar>
          </w:tcPr>
          <w:p>
            <w:pPr>
              <w:spacing w:before="0" w:after="0" w:line="264" w:lineRule="auto"/>
            </w:pPr>
            <w:r/>
            <w:r>
              <w:rPr>
                <w:rFonts w:ascii="Calibri" w:hAnsi="Calibri"/>
                <w:b w:val="0"/>
                <w:color w:val="000000"/>
                <w:sz w:val="20"/>
              </w:rPr>
              <w:t>Part identification</w:t>
            </w:r>
          </w:p>
        </w:tc>
        <w:tc>
          <w:tcPr>
            <w:tcW w:type="dxa" w:w="6360"/>
            <w:vAlign w:val="center"/>
            <w:tcMar>
              <w:top w:w="80" w:type="dxa"/>
              <w:bottom w:w="80" w:type="dxa"/>
              <w:start w:w="120" w:type="dxa"/>
              <w:end w:w="120" w:type="dxa"/>
            </w:tcMar>
          </w:tcPr>
          <w:p>
            <w:pPr>
              <w:spacing w:before="0" w:after="0" w:line="264" w:lineRule="auto"/>
            </w:pPr>
            <w:r/>
            <w:r>
              <w:rPr>
                <w:rFonts w:ascii="Calibri" w:hAnsi="Calibri"/>
                <w:b w:val="0"/>
                <w:color w:val="000000"/>
                <w:sz w:val="20"/>
              </w:rPr>
              <w:t>Part Number</w:t>
            </w:r>
          </w:p>
        </w:tc>
      </w:tr>
      <w:tr>
        <w:tc>
          <w:tcPr>
            <w:tcW w:type="dxa" w:w="3000"/>
            <w:vAlign w:val="center"/>
            <w:tcMar>
              <w:top w:w="80" w:type="dxa"/>
              <w:bottom w:w="80" w:type="dxa"/>
              <w:start w:w="120" w:type="dxa"/>
              <w:end w:w="120" w:type="dxa"/>
            </w:tcMar>
          </w:tcPr>
          <w:p>
            <w:pPr>
              <w:spacing w:before="0" w:after="0" w:line="264" w:lineRule="auto"/>
            </w:pPr>
            <w:r/>
            <w:r>
              <w:rPr>
                <w:rFonts w:ascii="Calibri" w:hAnsi="Calibri"/>
                <w:b w:val="0"/>
                <w:color w:val="000000"/>
                <w:sz w:val="20"/>
              </w:rPr>
              <w:t>Part description</w:t>
            </w:r>
          </w:p>
        </w:tc>
        <w:tc>
          <w:tcPr>
            <w:tcW w:type="dxa" w:w="6360"/>
            <w:vAlign w:val="center"/>
            <w:tcMar>
              <w:top w:w="80" w:type="dxa"/>
              <w:bottom w:w="80" w:type="dxa"/>
              <w:start w:w="120" w:type="dxa"/>
              <w:end w:w="120" w:type="dxa"/>
            </w:tcMar>
          </w:tcPr>
          <w:p>
            <w:pPr>
              <w:spacing w:before="0" w:after="0" w:line="264" w:lineRule="auto"/>
            </w:pPr>
            <w:r/>
            <w:r>
              <w:rPr>
                <w:rFonts w:ascii="Calibri" w:hAnsi="Calibri"/>
                <w:b w:val="0"/>
                <w:color w:val="000000"/>
                <w:sz w:val="20"/>
              </w:rPr>
              <w:t>Product Name and Description</w:t>
            </w:r>
          </w:p>
        </w:tc>
      </w:tr>
      <w:tr>
        <w:tc>
          <w:tcPr>
            <w:tcW w:type="dxa" w:w="3000"/>
            <w:vAlign w:val="center"/>
            <w:tcMar>
              <w:top w:w="80" w:type="dxa"/>
              <w:bottom w:w="80" w:type="dxa"/>
              <w:start w:w="120" w:type="dxa"/>
              <w:end w:w="120" w:type="dxa"/>
            </w:tcMar>
          </w:tcPr>
          <w:p>
            <w:pPr>
              <w:spacing w:before="0" w:after="0" w:line="264" w:lineRule="auto"/>
            </w:pPr>
            <w:r/>
            <w:r>
              <w:rPr>
                <w:rFonts w:ascii="Calibri" w:hAnsi="Calibri"/>
                <w:b w:val="0"/>
                <w:color w:val="000000"/>
                <w:sz w:val="20"/>
              </w:rPr>
              <w:t>Shipped quantity</w:t>
            </w:r>
          </w:p>
        </w:tc>
        <w:tc>
          <w:tcPr>
            <w:tcW w:type="dxa" w:w="6360"/>
            <w:vAlign w:val="center"/>
            <w:tcMar>
              <w:top w:w="80" w:type="dxa"/>
              <w:bottom w:w="80" w:type="dxa"/>
              <w:start w:w="120" w:type="dxa"/>
              <w:end w:w="120" w:type="dxa"/>
            </w:tcMar>
          </w:tcPr>
          <w:p>
            <w:pPr>
              <w:spacing w:before="0" w:after="0" w:line="264" w:lineRule="auto"/>
            </w:pPr>
            <w:r/>
            <w:r>
              <w:rPr>
                <w:rFonts w:ascii="Calibri" w:hAnsi="Calibri"/>
                <w:b w:val="0"/>
                <w:color w:val="000000"/>
                <w:sz w:val="20"/>
              </w:rPr>
              <w:t>Quantity</w:t>
            </w:r>
          </w:p>
        </w:tc>
      </w:tr>
      <w:tr>
        <w:tc>
          <w:tcPr>
            <w:tcW w:type="dxa" w:w="3000"/>
            <w:vAlign w:val="center"/>
            <w:tcMar>
              <w:top w:w="80" w:type="dxa"/>
              <w:bottom w:w="80" w:type="dxa"/>
              <w:start w:w="120" w:type="dxa"/>
              <w:end w:w="120" w:type="dxa"/>
            </w:tcMar>
          </w:tcPr>
          <w:p>
            <w:pPr>
              <w:spacing w:before="0" w:after="0" w:line="264" w:lineRule="auto"/>
            </w:pPr>
            <w:r/>
            <w:r>
              <w:rPr>
                <w:rFonts w:ascii="Calibri" w:hAnsi="Calibri"/>
                <w:b w:val="0"/>
                <w:color w:val="000000"/>
                <w:sz w:val="20"/>
              </w:rPr>
              <w:t>Cost reporting</w:t>
            </w:r>
          </w:p>
        </w:tc>
        <w:tc>
          <w:tcPr>
            <w:tcW w:type="dxa" w:w="6360"/>
            <w:vAlign w:val="center"/>
            <w:tcMar>
              <w:top w:w="80" w:type="dxa"/>
              <w:bottom w:w="80" w:type="dxa"/>
              <w:start w:w="120" w:type="dxa"/>
              <w:end w:w="120" w:type="dxa"/>
            </w:tcMar>
          </w:tcPr>
          <w:p>
            <w:pPr>
              <w:spacing w:before="0" w:after="0" w:line="264" w:lineRule="auto"/>
            </w:pPr>
            <w:r/>
            <w:r>
              <w:rPr>
                <w:rFonts w:ascii="Calibri" w:hAnsi="Calibri"/>
                <w:b w:val="0"/>
                <w:color w:val="000000"/>
                <w:sz w:val="20"/>
              </w:rPr>
              <w:t>Part Used Cost and Total Cost of Assets Used in Repair</w:t>
            </w:r>
          </w:p>
        </w:tc>
      </w:tr>
    </w:tbl>
    <w:p>
      <w:pPr>
        <w:spacing w:after="60"/>
      </w:pPr>
    </w:p>
    <w:p>
      <w:pPr>
        <w:pStyle w:val="Heading1"/>
      </w:pPr>
      <w:r>
        <w:t>Production Cross-Check</w:t>
      </w:r>
    </w:p>
    <w:p>
      <w:pPr>
        <w:spacing w:before="0" w:after="120" w:line="264" w:lineRule="auto"/>
      </w:pPr>
      <w:r>
        <w:rPr>
          <w:rFonts w:ascii="Calibri" w:hAnsi="Calibri"/>
        </w:rPr>
        <w:t>Production was checked in read-only mode only. No Production changes were made. No Production reports, records, metadata, folders, or data values were created or changed.</w:t>
      </w:r>
    </w:p>
    <w:tbl>
      <w:tblPr>
        <w:tblW w:type="dxa" w:w="9360"/>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2880"/>
        <w:gridCol w:w="1440"/>
        <w:gridCol w:w="5040"/>
      </w:tblGrid>
      <w:tr>
        <w:trPr>
          <w:tblHeader w:val="true"/>
        </w:trPr>
        <w:tc>
          <w:tcPr>
            <w:tcW w:type="dxa" w:w="288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0"/>
              </w:rPr>
              <w:t>Check</w:t>
            </w:r>
          </w:p>
        </w:tc>
        <w:tc>
          <w:tcPr>
            <w:tcW w:type="dxa" w:w="144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0"/>
              </w:rPr>
              <w:t>Result</w:t>
            </w:r>
          </w:p>
        </w:tc>
        <w:tc>
          <w:tcPr>
            <w:tcW w:type="dxa" w:w="504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0"/>
              </w:rPr>
              <w:t>Meaning</w:t>
            </w:r>
          </w:p>
        </w:tc>
      </w:tr>
      <w:tr>
        <w:tc>
          <w:tcPr>
            <w:tcW w:type="dxa" w:w="2880"/>
            <w:vAlign w:val="center"/>
            <w:tcMar>
              <w:top w:w="80" w:type="dxa"/>
              <w:bottom w:w="80" w:type="dxa"/>
              <w:start w:w="120" w:type="dxa"/>
              <w:end w:w="120" w:type="dxa"/>
            </w:tcMar>
          </w:tcPr>
          <w:p>
            <w:pPr>
              <w:spacing w:before="0" w:after="0" w:line="264" w:lineRule="auto"/>
            </w:pPr>
            <w:r/>
            <w:r>
              <w:rPr>
                <w:rFonts w:ascii="Calibri" w:hAnsi="Calibri"/>
                <w:b w:val="0"/>
                <w:color w:val="000000"/>
                <w:sz w:val="20"/>
              </w:rPr>
              <w:t>Production identity</w:t>
            </w:r>
          </w:p>
        </w:tc>
        <w:tc>
          <w:tcPr>
            <w:tcW w:type="dxa" w:w="1440"/>
            <w:vAlign w:val="center"/>
            <w:tcMar>
              <w:top w:w="80" w:type="dxa"/>
              <w:bottom w:w="80" w:type="dxa"/>
              <w:start w:w="120" w:type="dxa"/>
              <w:end w:w="120" w:type="dxa"/>
            </w:tcMar>
          </w:tcPr>
          <w:p>
            <w:pPr>
              <w:spacing w:before="0" w:after="0" w:line="264" w:lineRule="auto"/>
              <w:jc w:val="center"/>
            </w:pPr>
            <w:r/>
            <w:r>
              <w:rPr>
                <w:rFonts w:ascii="Calibri" w:hAnsi="Calibri"/>
                <w:b w:val="0"/>
                <w:color w:val="000000"/>
                <w:sz w:val="20"/>
              </w:rPr>
              <w:t>Confirmed</w:t>
            </w:r>
          </w:p>
        </w:tc>
        <w:tc>
          <w:tcPr>
            <w:tcW w:type="dxa" w:w="5040"/>
            <w:vAlign w:val="center"/>
            <w:tcMar>
              <w:top w:w="80" w:type="dxa"/>
              <w:bottom w:w="80" w:type="dxa"/>
              <w:start w:w="120" w:type="dxa"/>
              <w:end w:w="120" w:type="dxa"/>
            </w:tcMar>
          </w:tcPr>
          <w:p>
            <w:pPr>
              <w:spacing w:before="0" w:after="0" w:line="264" w:lineRule="auto"/>
            </w:pPr>
            <w:r/>
            <w:r>
              <w:rPr>
                <w:rFonts w:ascii="Calibri" w:hAnsi="Calibri"/>
                <w:b w:val="0"/>
                <w:color w:val="000000"/>
                <w:sz w:val="20"/>
              </w:rPr>
              <w:t>Org is Probo Medical Production, not sandbox.</w:t>
            </w:r>
          </w:p>
        </w:tc>
      </w:tr>
      <w:tr>
        <w:tc>
          <w:tcPr>
            <w:tcW w:type="dxa" w:w="2880"/>
            <w:vAlign w:val="center"/>
            <w:tcMar>
              <w:top w:w="80" w:type="dxa"/>
              <w:bottom w:w="80" w:type="dxa"/>
              <w:start w:w="120" w:type="dxa"/>
              <w:end w:w="120" w:type="dxa"/>
            </w:tcMar>
          </w:tcPr>
          <w:p>
            <w:pPr>
              <w:spacing w:before="0" w:after="0" w:line="264" w:lineRule="auto"/>
            </w:pPr>
            <w:r/>
            <w:r>
              <w:rPr>
                <w:rFonts w:ascii="Calibri" w:hAnsi="Calibri"/>
                <w:b w:val="0"/>
                <w:color w:val="000000"/>
                <w:sz w:val="20"/>
              </w:rPr>
              <w:t>Matching GE CPC opportunities</w:t>
            </w:r>
          </w:p>
        </w:tc>
        <w:tc>
          <w:tcPr>
            <w:tcW w:type="dxa" w:w="1440"/>
            <w:vAlign w:val="center"/>
            <w:tcMar>
              <w:top w:w="80" w:type="dxa"/>
              <w:bottom w:w="80" w:type="dxa"/>
              <w:start w:w="120" w:type="dxa"/>
              <w:end w:w="120" w:type="dxa"/>
            </w:tcMar>
          </w:tcPr>
          <w:p>
            <w:pPr>
              <w:spacing w:before="0" w:after="0" w:line="264" w:lineRule="auto"/>
              <w:jc w:val="center"/>
            </w:pPr>
            <w:r/>
            <w:r>
              <w:rPr>
                <w:rFonts w:ascii="Calibri" w:hAnsi="Calibri"/>
                <w:b w:val="0"/>
                <w:color w:val="000000"/>
                <w:sz w:val="20"/>
              </w:rPr>
              <w:t>6</w:t>
            </w:r>
          </w:p>
        </w:tc>
        <w:tc>
          <w:tcPr>
            <w:tcW w:type="dxa" w:w="5040"/>
            <w:vAlign w:val="center"/>
            <w:tcMar>
              <w:top w:w="80" w:type="dxa"/>
              <w:bottom w:w="80" w:type="dxa"/>
              <w:start w:w="120" w:type="dxa"/>
              <w:end w:w="120" w:type="dxa"/>
            </w:tcMar>
          </w:tcPr>
          <w:p>
            <w:pPr>
              <w:spacing w:before="0" w:after="0" w:line="264" w:lineRule="auto"/>
            </w:pPr>
            <w:r/>
            <w:r>
              <w:rPr>
                <w:rFonts w:ascii="Calibri" w:hAnsi="Calibri"/>
                <w:b w:val="0"/>
                <w:color w:val="000000"/>
                <w:sz w:val="20"/>
              </w:rPr>
              <w:t>The real GE CPC opportunities are in Production.</w:t>
            </w:r>
          </w:p>
        </w:tc>
      </w:tr>
      <w:tr>
        <w:tc>
          <w:tcPr>
            <w:tcW w:type="dxa" w:w="2880"/>
            <w:vAlign w:val="center"/>
            <w:tcMar>
              <w:top w:w="80" w:type="dxa"/>
              <w:bottom w:w="80" w:type="dxa"/>
              <w:start w:w="120" w:type="dxa"/>
              <w:end w:w="120" w:type="dxa"/>
            </w:tcMar>
          </w:tcPr>
          <w:p>
            <w:pPr>
              <w:spacing w:before="0" w:after="0" w:line="264" w:lineRule="auto"/>
            </w:pPr>
            <w:r/>
            <w:r>
              <w:rPr>
                <w:rFonts w:ascii="Calibri" w:hAnsi="Calibri"/>
                <w:b w:val="0"/>
                <w:color w:val="000000"/>
                <w:sz w:val="20"/>
              </w:rPr>
              <w:t>Matching Work Orders</w:t>
            </w:r>
          </w:p>
        </w:tc>
        <w:tc>
          <w:tcPr>
            <w:tcW w:type="dxa" w:w="1440"/>
            <w:vAlign w:val="center"/>
            <w:tcMar>
              <w:top w:w="80" w:type="dxa"/>
              <w:bottom w:w="80" w:type="dxa"/>
              <w:start w:w="120" w:type="dxa"/>
              <w:end w:w="120" w:type="dxa"/>
            </w:tcMar>
          </w:tcPr>
          <w:p>
            <w:pPr>
              <w:spacing w:before="0" w:after="0" w:line="264" w:lineRule="auto"/>
              <w:jc w:val="center"/>
            </w:pPr>
            <w:r/>
            <w:r>
              <w:rPr>
                <w:rFonts w:ascii="Calibri" w:hAnsi="Calibri"/>
                <w:b w:val="0"/>
                <w:color w:val="000000"/>
                <w:sz w:val="20"/>
              </w:rPr>
              <w:t>118</w:t>
            </w:r>
          </w:p>
        </w:tc>
        <w:tc>
          <w:tcPr>
            <w:tcW w:type="dxa" w:w="5040"/>
            <w:vAlign w:val="center"/>
            <w:tcMar>
              <w:top w:w="80" w:type="dxa"/>
              <w:bottom w:w="80" w:type="dxa"/>
              <w:start w:w="120" w:type="dxa"/>
              <w:end w:w="120" w:type="dxa"/>
            </w:tcMar>
          </w:tcPr>
          <w:p>
            <w:pPr>
              <w:spacing w:before="0" w:after="0" w:line="264" w:lineRule="auto"/>
            </w:pPr>
            <w:r/>
            <w:r>
              <w:rPr>
                <w:rFonts w:ascii="Calibri" w:hAnsi="Calibri"/>
                <w:b w:val="0"/>
                <w:color w:val="000000"/>
                <w:sz w:val="20"/>
              </w:rPr>
              <w:t>The DevDO report logic should return records after approved Production move.</w:t>
            </w:r>
          </w:p>
        </w:tc>
      </w:tr>
      <w:tr>
        <w:tc>
          <w:tcPr>
            <w:tcW w:type="dxa" w:w="2880"/>
            <w:vAlign w:val="center"/>
            <w:tcMar>
              <w:top w:w="80" w:type="dxa"/>
              <w:bottom w:w="80" w:type="dxa"/>
              <w:start w:w="120" w:type="dxa"/>
              <w:end w:w="120" w:type="dxa"/>
            </w:tcMar>
          </w:tcPr>
          <w:p>
            <w:pPr>
              <w:spacing w:before="0" w:after="0" w:line="264" w:lineRule="auto"/>
            </w:pPr>
            <w:r/>
            <w:r>
              <w:rPr>
                <w:rFonts w:ascii="Calibri" w:hAnsi="Calibri"/>
                <w:b w:val="0"/>
                <w:color w:val="000000"/>
                <w:sz w:val="20"/>
              </w:rPr>
              <w:t>Matching Work Order Line Items</w:t>
            </w:r>
          </w:p>
        </w:tc>
        <w:tc>
          <w:tcPr>
            <w:tcW w:type="dxa" w:w="1440"/>
            <w:vAlign w:val="center"/>
            <w:tcMar>
              <w:top w:w="80" w:type="dxa"/>
              <w:bottom w:w="80" w:type="dxa"/>
              <w:start w:w="120" w:type="dxa"/>
              <w:end w:w="120" w:type="dxa"/>
            </w:tcMar>
          </w:tcPr>
          <w:p>
            <w:pPr>
              <w:spacing w:before="0" w:after="0" w:line="264" w:lineRule="auto"/>
              <w:jc w:val="center"/>
            </w:pPr>
            <w:r/>
            <w:r>
              <w:rPr>
                <w:rFonts w:ascii="Calibri" w:hAnsi="Calibri"/>
                <w:b w:val="0"/>
                <w:color w:val="000000"/>
                <w:sz w:val="20"/>
              </w:rPr>
              <w:t>142</w:t>
            </w:r>
          </w:p>
        </w:tc>
        <w:tc>
          <w:tcPr>
            <w:tcW w:type="dxa" w:w="5040"/>
            <w:vAlign w:val="center"/>
            <w:tcMar>
              <w:top w:w="80" w:type="dxa"/>
              <w:bottom w:w="80" w:type="dxa"/>
              <w:start w:w="120" w:type="dxa"/>
              <w:end w:w="120" w:type="dxa"/>
            </w:tcMar>
          </w:tcPr>
          <w:p>
            <w:pPr>
              <w:spacing w:before="0" w:after="0" w:line="264" w:lineRule="auto"/>
            </w:pPr>
            <w:r/>
            <w:r>
              <w:rPr>
                <w:rFonts w:ascii="Calibri" w:hAnsi="Calibri"/>
                <w:b w:val="0"/>
                <w:color w:val="000000"/>
                <w:sz w:val="20"/>
              </w:rPr>
              <w:t>The report should show shipped-part rows in Production.</w:t>
            </w:r>
          </w:p>
        </w:tc>
      </w:tr>
      <w:tr>
        <w:tc>
          <w:tcPr>
            <w:tcW w:type="dxa" w:w="2880"/>
            <w:vAlign w:val="center"/>
            <w:tcMar>
              <w:top w:w="80" w:type="dxa"/>
              <w:bottom w:w="80" w:type="dxa"/>
              <w:start w:w="120" w:type="dxa"/>
              <w:end w:w="120" w:type="dxa"/>
            </w:tcMar>
          </w:tcPr>
          <w:p>
            <w:pPr>
              <w:spacing w:before="0" w:after="0" w:line="264" w:lineRule="auto"/>
            </w:pPr>
            <w:r/>
            <w:r>
              <w:rPr>
                <w:rFonts w:ascii="Calibri" w:hAnsi="Calibri"/>
                <w:b w:val="0"/>
                <w:color w:val="000000"/>
                <w:sz w:val="20"/>
              </w:rPr>
              <w:t>Report exists in Production</w:t>
            </w:r>
          </w:p>
        </w:tc>
        <w:tc>
          <w:tcPr>
            <w:tcW w:type="dxa" w:w="1440"/>
            <w:vAlign w:val="center"/>
            <w:tcMar>
              <w:top w:w="80" w:type="dxa"/>
              <w:bottom w:w="80" w:type="dxa"/>
              <w:start w:w="120" w:type="dxa"/>
              <w:end w:w="120" w:type="dxa"/>
            </w:tcMar>
          </w:tcPr>
          <w:p>
            <w:pPr>
              <w:spacing w:before="0" w:after="0" w:line="264" w:lineRule="auto"/>
              <w:jc w:val="center"/>
            </w:pPr>
            <w:r/>
            <w:r>
              <w:rPr>
                <w:rFonts w:ascii="Calibri" w:hAnsi="Calibri"/>
                <w:b w:val="0"/>
                <w:color w:val="000000"/>
                <w:sz w:val="20"/>
              </w:rPr>
              <w:t>No</w:t>
            </w:r>
          </w:p>
        </w:tc>
        <w:tc>
          <w:tcPr>
            <w:tcW w:type="dxa" w:w="5040"/>
            <w:vAlign w:val="center"/>
            <w:tcMar>
              <w:top w:w="80" w:type="dxa"/>
              <w:bottom w:w="80" w:type="dxa"/>
              <w:start w:w="120" w:type="dxa"/>
              <w:end w:w="120" w:type="dxa"/>
            </w:tcMar>
          </w:tcPr>
          <w:p>
            <w:pPr>
              <w:spacing w:before="0" w:after="0" w:line="264" w:lineRule="auto"/>
            </w:pPr>
            <w:r/>
            <w:r>
              <w:rPr>
                <w:rFonts w:ascii="Calibri" w:hAnsi="Calibri"/>
                <w:b w:val="0"/>
                <w:color w:val="000000"/>
                <w:sz w:val="20"/>
              </w:rPr>
              <w:t>GE CPC Parts Shipped was not created in Production.</w:t>
            </w:r>
          </w:p>
        </w:tc>
      </w:tr>
    </w:tbl>
    <w:p>
      <w:pPr>
        <w:spacing w:after="60"/>
      </w:pPr>
    </w:p>
    <w:p>
      <w:pPr>
        <w:pStyle w:val="Heading1"/>
      </w:pPr>
      <w:r>
        <w:t>Data Notes</w:t>
      </w:r>
    </w:p>
    <w:p>
      <w:pPr>
        <w:spacing w:before="0" w:after="120" w:line="264" w:lineRule="auto"/>
      </w:pPr>
      <w:r>
        <w:rPr>
          <w:rFonts w:ascii="Calibri" w:hAnsi="Calibri"/>
        </w:rPr>
        <w:t>These are Production read-only findings to review with the business before final acceptance. They do not block the DevDO report build, but they may affect what users see in the report.</w:t>
      </w:r>
    </w:p>
    <w:tbl>
      <w:tblPr>
        <w:tblW w:type="dxa" w:w="9360"/>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2880"/>
        <w:gridCol w:w="2160"/>
        <w:gridCol w:w="4320"/>
      </w:tblGrid>
      <w:tr>
        <w:trPr>
          <w:tblHeader w:val="true"/>
        </w:trPr>
        <w:tc>
          <w:tcPr>
            <w:tcW w:type="dxa" w:w="288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0"/>
              </w:rPr>
              <w:t>Data Point</w:t>
            </w:r>
          </w:p>
        </w:tc>
        <w:tc>
          <w:tcPr>
            <w:tcW w:type="dxa" w:w="216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0"/>
              </w:rPr>
              <w:t>Read-Only Finding</w:t>
            </w:r>
          </w:p>
        </w:tc>
        <w:tc>
          <w:tcPr>
            <w:tcW w:type="dxa" w:w="4320"/>
            <w:tcMar>
              <w:top w:w="80" w:type="dxa"/>
              <w:bottom w:w="80" w:type="dxa"/>
              <w:start w:w="120" w:type="dxa"/>
              <w:end w:w="120" w:type="dxa"/>
            </w:tcMar>
            <w:shd w:fill="F2F4F7"/>
            <w:vAlign w:val="center"/>
          </w:tcPr>
          <w:p>
            <w:pPr>
              <w:spacing w:before="0" w:after="0" w:line="264" w:lineRule="auto"/>
            </w:pPr>
            <w:r/>
            <w:r>
              <w:rPr>
                <w:rFonts w:ascii="Calibri" w:hAnsi="Calibri"/>
                <w:b/>
                <w:color w:val="1F4D78"/>
                <w:sz w:val="20"/>
              </w:rPr>
              <w:t>Business Impact</w:t>
            </w:r>
          </w:p>
        </w:tc>
      </w:tr>
      <w:tr>
        <w:tc>
          <w:tcPr>
            <w:tcW w:type="dxa" w:w="2880"/>
            <w:vAlign w:val="center"/>
            <w:tcMar>
              <w:top w:w="80" w:type="dxa"/>
              <w:bottom w:w="80" w:type="dxa"/>
              <w:start w:w="120" w:type="dxa"/>
              <w:end w:w="120" w:type="dxa"/>
            </w:tcMar>
          </w:tcPr>
          <w:p>
            <w:pPr>
              <w:spacing w:before="0" w:after="0" w:line="264" w:lineRule="auto"/>
            </w:pPr>
            <w:r/>
            <w:r>
              <w:rPr>
                <w:rFonts w:ascii="Calibri" w:hAnsi="Calibri"/>
                <w:b w:val="0"/>
                <w:color w:val="000000"/>
                <w:sz w:val="20"/>
              </w:rPr>
              <w:t>Part Used, Part Number, Asset Number, Quantity</w:t>
            </w:r>
          </w:p>
        </w:tc>
        <w:tc>
          <w:tcPr>
            <w:tcW w:type="dxa" w:w="2160"/>
            <w:vAlign w:val="center"/>
            <w:tcMar>
              <w:top w:w="80" w:type="dxa"/>
              <w:bottom w:w="80" w:type="dxa"/>
              <w:start w:w="120" w:type="dxa"/>
              <w:end w:w="120" w:type="dxa"/>
            </w:tcMar>
          </w:tcPr>
          <w:p>
            <w:pPr>
              <w:spacing w:before="0" w:after="0" w:line="264" w:lineRule="auto"/>
              <w:jc w:val="center"/>
            </w:pPr>
            <w:r/>
            <w:r>
              <w:rPr>
                <w:rFonts w:ascii="Calibri" w:hAnsi="Calibri"/>
                <w:b w:val="0"/>
                <w:color w:val="000000"/>
                <w:sz w:val="20"/>
              </w:rPr>
              <w:t>142 of 142 populated</w:t>
            </w:r>
          </w:p>
        </w:tc>
        <w:tc>
          <w:tcPr>
            <w:tcW w:type="dxa" w:w="4320"/>
            <w:vAlign w:val="center"/>
            <w:tcMar>
              <w:top w:w="80" w:type="dxa"/>
              <w:bottom w:w="80" w:type="dxa"/>
              <w:start w:w="120" w:type="dxa"/>
              <w:end w:w="120" w:type="dxa"/>
            </w:tcMar>
          </w:tcPr>
          <w:p>
            <w:pPr>
              <w:spacing w:before="0" w:after="0" w:line="264" w:lineRule="auto"/>
            </w:pPr>
            <w:r/>
            <w:r>
              <w:rPr>
                <w:rFonts w:ascii="Calibri" w:hAnsi="Calibri"/>
                <w:b w:val="0"/>
                <w:color w:val="000000"/>
                <w:sz w:val="20"/>
              </w:rPr>
              <w:t>Core shipped-part fields are available.</w:t>
            </w:r>
          </w:p>
        </w:tc>
      </w:tr>
      <w:tr>
        <w:tc>
          <w:tcPr>
            <w:tcW w:type="dxa" w:w="2880"/>
            <w:vAlign w:val="center"/>
            <w:tcMar>
              <w:top w:w="80" w:type="dxa"/>
              <w:bottom w:w="80" w:type="dxa"/>
              <w:start w:w="120" w:type="dxa"/>
              <w:end w:w="120" w:type="dxa"/>
            </w:tcMar>
          </w:tcPr>
          <w:p>
            <w:pPr>
              <w:spacing w:before="0" w:after="0" w:line="264" w:lineRule="auto"/>
            </w:pPr>
            <w:r/>
            <w:r>
              <w:rPr>
                <w:rFonts w:ascii="Calibri" w:hAnsi="Calibri"/>
                <w:b w:val="0"/>
                <w:color w:val="000000"/>
                <w:sz w:val="20"/>
              </w:rPr>
              <w:t>Part Used Cost</w:t>
            </w:r>
          </w:p>
        </w:tc>
        <w:tc>
          <w:tcPr>
            <w:tcW w:type="dxa" w:w="2160"/>
            <w:vAlign w:val="center"/>
            <w:tcMar>
              <w:top w:w="80" w:type="dxa"/>
              <w:bottom w:w="80" w:type="dxa"/>
              <w:start w:w="120" w:type="dxa"/>
              <w:end w:w="120" w:type="dxa"/>
            </w:tcMar>
          </w:tcPr>
          <w:p>
            <w:pPr>
              <w:spacing w:before="0" w:after="0" w:line="264" w:lineRule="auto"/>
              <w:jc w:val="center"/>
            </w:pPr>
            <w:r/>
            <w:r>
              <w:rPr>
                <w:rFonts w:ascii="Calibri" w:hAnsi="Calibri"/>
                <w:b w:val="0"/>
                <w:color w:val="000000"/>
                <w:sz w:val="20"/>
              </w:rPr>
              <w:t>119 of 142 populated</w:t>
            </w:r>
          </w:p>
        </w:tc>
        <w:tc>
          <w:tcPr>
            <w:tcW w:type="dxa" w:w="4320"/>
            <w:vAlign w:val="center"/>
            <w:tcMar>
              <w:top w:w="80" w:type="dxa"/>
              <w:bottom w:w="80" w:type="dxa"/>
              <w:start w:w="120" w:type="dxa"/>
              <w:end w:w="120" w:type="dxa"/>
            </w:tcMar>
          </w:tcPr>
          <w:p>
            <w:pPr>
              <w:spacing w:before="0" w:after="0" w:line="264" w:lineRule="auto"/>
            </w:pPr>
            <w:r/>
            <w:r>
              <w:rPr>
                <w:rFonts w:ascii="Calibri" w:hAnsi="Calibri"/>
                <w:b w:val="0"/>
                <w:color w:val="000000"/>
                <w:sz w:val="20"/>
              </w:rPr>
              <w:t>23 line items may show blank cost.</w:t>
            </w:r>
          </w:p>
        </w:tc>
      </w:tr>
      <w:tr>
        <w:tc>
          <w:tcPr>
            <w:tcW w:type="dxa" w:w="2880"/>
            <w:vAlign w:val="center"/>
            <w:tcMar>
              <w:top w:w="80" w:type="dxa"/>
              <w:bottom w:w="80" w:type="dxa"/>
              <w:start w:w="120" w:type="dxa"/>
              <w:end w:w="120" w:type="dxa"/>
            </w:tcMar>
          </w:tcPr>
          <w:p>
            <w:pPr>
              <w:spacing w:before="0" w:after="0" w:line="264" w:lineRule="auto"/>
            </w:pPr>
            <w:r/>
            <w:r>
              <w:rPr>
                <w:rFonts w:ascii="Calibri" w:hAnsi="Calibri"/>
                <w:b w:val="0"/>
                <w:color w:val="000000"/>
                <w:sz w:val="20"/>
              </w:rPr>
              <w:t>Asset Serial Number blank</w:t>
            </w:r>
          </w:p>
        </w:tc>
        <w:tc>
          <w:tcPr>
            <w:tcW w:type="dxa" w:w="2160"/>
            <w:vAlign w:val="center"/>
            <w:tcMar>
              <w:top w:w="80" w:type="dxa"/>
              <w:bottom w:w="80" w:type="dxa"/>
              <w:start w:w="120" w:type="dxa"/>
              <w:end w:w="120" w:type="dxa"/>
            </w:tcMar>
          </w:tcPr>
          <w:p>
            <w:pPr>
              <w:spacing w:before="0" w:after="0" w:line="264" w:lineRule="auto"/>
              <w:jc w:val="center"/>
            </w:pPr>
            <w:r/>
            <w:r>
              <w:rPr>
                <w:rFonts w:ascii="Calibri" w:hAnsi="Calibri"/>
                <w:b w:val="0"/>
                <w:color w:val="000000"/>
                <w:sz w:val="20"/>
              </w:rPr>
              <w:t>2 Work Orders</w:t>
            </w:r>
          </w:p>
        </w:tc>
        <w:tc>
          <w:tcPr>
            <w:tcW w:type="dxa" w:w="4320"/>
            <w:vAlign w:val="center"/>
            <w:tcMar>
              <w:top w:w="80" w:type="dxa"/>
              <w:bottom w:w="80" w:type="dxa"/>
              <w:start w:w="120" w:type="dxa"/>
              <w:end w:w="120" w:type="dxa"/>
            </w:tcMar>
          </w:tcPr>
          <w:p>
            <w:pPr>
              <w:spacing w:before="0" w:after="0" w:line="264" w:lineRule="auto"/>
            </w:pPr>
            <w:r/>
            <w:r>
              <w:rPr>
                <w:rFonts w:ascii="Calibri" w:hAnsi="Calibri"/>
                <w:b w:val="0"/>
                <w:color w:val="000000"/>
                <w:sz w:val="20"/>
              </w:rPr>
              <w:t>Some system serial values may need cleanup.</w:t>
            </w:r>
          </w:p>
        </w:tc>
      </w:tr>
      <w:tr>
        <w:tc>
          <w:tcPr>
            <w:tcW w:type="dxa" w:w="2880"/>
            <w:vAlign w:val="center"/>
            <w:tcMar>
              <w:top w:w="80" w:type="dxa"/>
              <w:bottom w:w="80" w:type="dxa"/>
              <w:start w:w="120" w:type="dxa"/>
              <w:end w:w="120" w:type="dxa"/>
            </w:tcMar>
          </w:tcPr>
          <w:p>
            <w:pPr>
              <w:spacing w:before="0" w:after="0" w:line="264" w:lineRule="auto"/>
            </w:pPr>
            <w:r/>
            <w:r>
              <w:rPr>
                <w:rFonts w:ascii="Calibri" w:hAnsi="Calibri"/>
                <w:b w:val="0"/>
                <w:color w:val="000000"/>
                <w:sz w:val="20"/>
              </w:rPr>
              <w:t>Asset Serial Number = N/A</w:t>
            </w:r>
          </w:p>
        </w:tc>
        <w:tc>
          <w:tcPr>
            <w:tcW w:type="dxa" w:w="2160"/>
            <w:vAlign w:val="center"/>
            <w:tcMar>
              <w:top w:w="80" w:type="dxa"/>
              <w:bottom w:w="80" w:type="dxa"/>
              <w:start w:w="120" w:type="dxa"/>
              <w:end w:w="120" w:type="dxa"/>
            </w:tcMar>
          </w:tcPr>
          <w:p>
            <w:pPr>
              <w:spacing w:before="0" w:after="0" w:line="264" w:lineRule="auto"/>
              <w:jc w:val="center"/>
            </w:pPr>
            <w:r/>
            <w:r>
              <w:rPr>
                <w:rFonts w:ascii="Calibri" w:hAnsi="Calibri"/>
                <w:b w:val="0"/>
                <w:color w:val="000000"/>
                <w:sz w:val="20"/>
              </w:rPr>
              <w:t>31 Work Orders</w:t>
            </w:r>
          </w:p>
        </w:tc>
        <w:tc>
          <w:tcPr>
            <w:tcW w:type="dxa" w:w="4320"/>
            <w:vAlign w:val="center"/>
            <w:tcMar>
              <w:top w:w="80" w:type="dxa"/>
              <w:bottom w:w="80" w:type="dxa"/>
              <w:start w:w="120" w:type="dxa"/>
              <w:end w:w="120" w:type="dxa"/>
            </w:tcMar>
          </w:tcPr>
          <w:p>
            <w:pPr>
              <w:spacing w:before="0" w:after="0" w:line="264" w:lineRule="auto"/>
            </w:pPr>
            <w:r/>
            <w:r>
              <w:rPr>
                <w:rFonts w:ascii="Calibri" w:hAnsi="Calibri"/>
                <w:b w:val="0"/>
                <w:color w:val="000000"/>
                <w:sz w:val="20"/>
              </w:rPr>
              <w:t>Business may need to decide whether N/A is acceptable.</w:t>
            </w:r>
          </w:p>
        </w:tc>
      </w:tr>
    </w:tbl>
    <w:p>
      <w:pPr>
        <w:spacing w:after="60"/>
      </w:pPr>
    </w:p>
    <w:p>
      <w:pPr>
        <w:pStyle w:val="Heading1"/>
      </w:pPr>
      <w:r>
        <w:t>How To Review In DevDO</w:t>
      </w:r>
    </w:p>
    <w:p>
      <w:pPr>
        <w:pStyle w:val="ListNumber"/>
        <w:spacing w:before="0" w:after="80" w:line="280" w:lineRule="auto"/>
      </w:pPr>
      <w:r>
        <w:rPr>
          <w:rFonts w:ascii="Calibri" w:hAnsi="Calibri"/>
          <w:sz w:val="21"/>
        </w:rPr>
        <w:t>Open Sandbox (DevDO), then go to Reports.</w:t>
      </w:r>
    </w:p>
    <w:p>
      <w:pPr>
        <w:pStyle w:val="ListNumber"/>
        <w:spacing w:before="0" w:after="80" w:line="280" w:lineRule="auto"/>
      </w:pPr>
      <w:r>
        <w:rPr>
          <w:rFonts w:ascii="Calibri" w:hAnsi="Calibri"/>
          <w:sz w:val="21"/>
        </w:rPr>
        <w:t>Search for GE CPC Parts Shipped.</w:t>
      </w:r>
    </w:p>
    <w:p>
      <w:pPr>
        <w:pStyle w:val="ListNumber"/>
        <w:spacing w:before="0" w:after="80" w:line="280" w:lineRule="auto"/>
      </w:pPr>
      <w:r>
        <w:rPr>
          <w:rFonts w:ascii="Calibri" w:hAnsi="Calibri"/>
          <w:sz w:val="21"/>
        </w:rPr>
        <w:t>Open the report from Service Operations Reports.</w:t>
      </w:r>
    </w:p>
    <w:p>
      <w:pPr>
        <w:pStyle w:val="ListNumber"/>
        <w:spacing w:before="0" w:after="80" w:line="280" w:lineRule="auto"/>
      </w:pPr>
      <w:r>
        <w:rPr>
          <w:rFonts w:ascii="Calibri" w:hAnsi="Calibri"/>
          <w:sz w:val="21"/>
        </w:rPr>
        <w:t>Click Edit and confirm the filters, columns, and Current Fiscal Year ship-date filter.</w:t>
      </w:r>
    </w:p>
    <w:p>
      <w:pPr>
        <w:pStyle w:val="ListNumber"/>
        <w:spacing w:before="0" w:after="80" w:line="280" w:lineRule="auto"/>
      </w:pPr>
      <w:r>
        <w:rPr>
          <w:rFonts w:ascii="Calibri" w:hAnsi="Calibri"/>
          <w:sz w:val="21"/>
        </w:rPr>
        <w:t>Expected DevDO result is No Results because the real GE CPC data is in Production.</w:t>
      </w:r>
    </w:p>
    <w:p>
      <w:pPr>
        <w:pStyle w:val="Heading1"/>
      </w:pPr>
      <w:r>
        <w:t>Suggested Approval Message</w:t>
      </w:r>
    </w:p>
    <w:tbl>
      <w:tblPr>
        <w:tblW w:type="dxa" w:w="9360"/>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9360"/>
      </w:tblGrid>
      <w:tr>
        <w:trPr>
          <w:tblHeader w:val="true"/>
        </w:trPr>
        <w:tc>
          <w:tcPr>
            <w:tcW w:type="dxa" w:w="9360"/>
            <w:tcMar>
              <w:top w:w="80" w:type="dxa"/>
              <w:bottom w:w="80" w:type="dxa"/>
              <w:start w:w="120" w:type="dxa"/>
              <w:end w:w="120" w:type="dxa"/>
            </w:tcMar>
            <w:shd w:fill="F4F6F9"/>
          </w:tcPr>
          <w:p>
            <w:pPr>
              <w:spacing w:before="0" w:after="120" w:line="264" w:lineRule="auto"/>
            </w:pPr>
            <w:r/>
            <w:r>
              <w:rPr>
                <w:rFonts w:ascii="Calibri" w:hAnsi="Calibri"/>
                <w:sz w:val="21"/>
              </w:rPr>
              <w:t>Hi David,</w:t>
            </w:r>
          </w:p>
          <w:p>
            <w:pPr>
              <w:spacing w:before="0" w:after="120" w:line="264" w:lineRule="auto"/>
            </w:pPr>
            <w:r>
              <w:rPr>
                <w:rFonts w:ascii="Calibri" w:hAnsi="Calibri"/>
                <w:sz w:val="21"/>
              </w:rPr>
              <w:t>DevDO work is completed for the GE CPC Parts Shipped report.</w:t>
            </w:r>
          </w:p>
          <w:p>
            <w:pPr>
              <w:spacing w:before="0" w:after="120" w:line="264" w:lineRule="auto"/>
            </w:pPr>
            <w:r>
              <w:rPr>
                <w:rFonts w:ascii="Calibri" w:hAnsi="Calibri"/>
                <w:sz w:val="21"/>
              </w:rPr>
              <w:t>Created a new report in DevDO named GE CPC Parts Shipped under the Service Operations Reports folder. The report uses the Work Orders with Work Order Line items2 report type and includes the requested fields for Work Order, Opportunity, Service Contract, Customer PO, Ship Date, Asset Serial Number, Asset Number, Part Number, Description/Product Name, Quantity, and Cost.</w:t>
            </w:r>
          </w:p>
          <w:p>
            <w:pPr>
              <w:spacing w:before="0" w:after="120" w:line="264" w:lineRule="auto"/>
            </w:pPr>
            <w:r>
              <w:rPr>
                <w:rFonts w:ascii="Calibri" w:hAnsi="Calibri"/>
                <w:sz w:val="21"/>
              </w:rPr>
              <w:t>The report opens successfully in DevDO. DevDO shows no results because the real GE CPC records exist in Production. Production was cross-checked in read-only mode only, and no Production changes were made.</w:t>
            </w:r>
          </w:p>
          <w:p>
            <w:pPr>
              <w:spacing w:before="0" w:after="120" w:line="264" w:lineRule="auto"/>
            </w:pPr>
            <w:r>
              <w:rPr>
                <w:rFonts w:ascii="Calibri" w:hAnsi="Calibri"/>
                <w:sz w:val="21"/>
              </w:rPr>
              <w:t>Production has the six GE CPC opportunities. The same report logic should return 118 Work Orders and 142 Work Order Line Items once approved and moved to Production.</w:t>
            </w:r>
          </w:p>
          <w:p>
            <w:pPr>
              <w:spacing w:before="0" w:after="120" w:line="264" w:lineRule="auto"/>
            </w:pPr>
            <w:r>
              <w:rPr>
                <w:rFonts w:ascii="Calibri" w:hAnsi="Calibri"/>
                <w:sz w:val="21"/>
              </w:rPr>
              <w:t>Known data cleanup items in Production: 23 line items are missing Part Used Cost, 2 Work Orders have blank Asset Serial Number, and 31 Work Orders have Asset Serial Number as N/A.</w:t>
            </w:r>
          </w:p>
          <w:p>
            <w:pPr>
              <w:spacing w:before="0" w:after="0" w:line="264" w:lineRule="auto"/>
            </w:pPr>
            <w:r>
              <w:rPr>
                <w:rFonts w:ascii="Calibri" w:hAnsi="Calibri"/>
                <w:sz w:val="21"/>
              </w:rPr>
              <w:t>Please confirm approval to create or move this report in Production. No Production changes will be made until approval is received.</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olor w:val="555555"/>
        <w:sz w:val="18"/>
      </w:rPr>
      <w:t>GE CPC Parts Shipped Report - Approval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robomedical--devdo.sandbox.my.salesforce.com/lightning/r/Report/00OiK0000000k9JUAQ/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 CPC Parts Shipped Report - DevDO Completion and Prod Approval Note</dc:title>
  <dc:subject>Salesforce DevDO report completion and Production approval request</dc:subject>
  <dc:creator>Codex</dc:creator>
  <cp:keywords>Salesforce, DevDO, GE CPC, report, approval</cp:keywords>
  <dc:description>generated by python-docx</dc:description>
  <cp:lastModifiedBy/>
  <cp:revision>1</cp:revision>
  <dcterms:created xsi:type="dcterms:W3CDTF">2013-12-23T23:15:00Z</dcterms:created>
  <dcterms:modified xsi:type="dcterms:W3CDTF">2013-12-23T23:15:00Z</dcterms:modified>
  <cp:category/>
</cp:coreProperties>
</file>