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ARCHITECT CLOSURE REVIEW</w:t>
      </w:r>
    </w:p>
    <w:p>
      <w:pPr>
        <w:pStyle w:val="Subtitle"/>
        <w:jc w:val="left"/>
      </w:pPr>
      <w:r>
        <w:t>Automatically Create One Core Exchange RMA for a Qualifying Work Order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Production Case: </w:t>
      </w:r>
      <w:r>
        <w:rPr>
          <w:rFonts w:ascii="Calibri" w:hAnsi="Calibri"/>
          <w:color w:val="222222"/>
          <w:sz w:val="21"/>
        </w:rPr>
        <w:t>00010514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DevDO Tracking Case: </w:t>
      </w:r>
      <w:r>
        <w:rPr>
          <w:rFonts w:ascii="Calibri" w:hAnsi="Calibri"/>
          <w:color w:val="222222"/>
          <w:sz w:val="21"/>
        </w:rPr>
        <w:t>00010706 - Closed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Prepared: </w:t>
      </w:r>
      <w:r>
        <w:rPr>
          <w:rFonts w:ascii="Calibri" w:hAnsi="Calibri"/>
          <w:color w:val="222222"/>
          <w:sz w:val="21"/>
        </w:rPr>
        <w:t>September 1, 2026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Environment: </w:t>
      </w:r>
      <w:r>
        <w:rPr>
          <w:rFonts w:ascii="Calibri" w:hAnsi="Calibri"/>
          <w:color w:val="222222"/>
          <w:sz w:val="21"/>
        </w:rPr>
        <w:t>Probo Medical DevDO sandbox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Review Status: </w:t>
      </w:r>
      <w:r>
        <w:rPr>
          <w:rFonts w:ascii="Calibri" w:hAnsi="Calibri"/>
          <w:color w:val="222222"/>
          <w:sz w:val="21"/>
        </w:rPr>
        <w:t>DEVDO PASS | READY FOR PRODUCTION DEPLOYMENT/UAT</w:t>
      </w:r>
    </w:p>
    <w:p>
      <w:pPr>
        <w:spacing w:before="160" w:after="200" w:line="264" w:lineRule="auto"/>
        <w:ind w:left="173" w:right="72"/>
        <w:shd w:fill="F4F6F9"/>
        <w:pBdr>
          <w:left w:val="single" w:sz="18" w:space="8" w:color="1F6D4A"/>
        </w:pBdr>
      </w:pPr>
      <w:r>
        <w:rPr>
          <w:rFonts w:ascii="Calibri" w:hAnsi="Calibri"/>
          <w:b/>
          <w:color w:val="1F6D4A"/>
          <w:sz w:val="21"/>
        </w:rPr>
        <w:t xml:space="preserve">Architect determination: </w:t>
      </w:r>
      <w:r>
        <w:rPr>
          <w:rFonts w:ascii="Calibri" w:hAnsi="Calibri"/>
          <w:color w:val="222222"/>
          <w:sz w:val="21"/>
        </w:rPr>
        <w:t>DevDO passed. The implementation is ready for Production deployment and a GE Work Order smoke test. Keep Production case 00010514 open until exactly one Core Exchange RMA is verified in Production.</w:t>
      </w:r>
    </w:p>
    <w:p>
      <w:pPr>
        <w:pStyle w:val="Heading1"/>
      </w:pPr>
      <w:r>
        <w:t>1. Production Case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Verified value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Subject</w:t>
            </w:r>
          </w:p>
        </w:tc>
        <w:tc>
          <w:tcPr>
            <w:tcW w:type="dxa" w:w="7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Core Exchange RMA not automatically opening on Work Order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Production status</w:t>
            </w:r>
          </w:p>
        </w:tc>
        <w:tc>
          <w:tcPr>
            <w:tcW w:type="dxa" w:w="7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Claimed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Priority</w:t>
            </w:r>
          </w:p>
        </w:tc>
        <w:tc>
          <w:tcPr>
            <w:tcW w:type="dxa" w:w="7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Medium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Business issue</w:t>
            </w:r>
          </w:p>
        </w:tc>
        <w:tc>
          <w:tcPr>
            <w:tcW w:type="dxa" w:w="7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GE contract Work Orders required manual Core Exchange RMA creation; the business requested automatic creation.</w:t>
            </w:r>
          </w:p>
        </w:tc>
      </w:tr>
    </w:tbl>
    <w:p>
      <w:pPr>
        <w:spacing w:after="0"/>
      </w:pPr>
    </w:p>
    <w:p>
      <w:pPr>
        <w:pStyle w:val="Heading1"/>
      </w:pPr>
      <w:r>
        <w:t>2. Root Cause and Resolution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Root cause: </w:t>
      </w:r>
      <w:r>
        <w:rPr>
          <w:rFonts w:ascii="Calibri" w:hAnsi="Calibri"/>
          <w:color w:val="222222"/>
        </w:rPr>
        <w:t>No active automation created the required Core Exchange RMA when a qualifying GE Work Order became complete with Account, Opportunity, and Service Contract data.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Qualification: </w:t>
      </w:r>
      <w:r>
        <w:rPr>
          <w:rFonts w:ascii="Calibri" w:hAnsi="Calibri"/>
          <w:color w:val="222222"/>
        </w:rPr>
        <w:t>An after-save Work Order Flow runs only when Account, Opportunity, and Service Contract are populated and the record newly meets the criteria.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Configuration: </w:t>
      </w:r>
      <w:r>
        <w:rPr>
          <w:rFonts w:ascii="Calibri" w:hAnsi="Calibri"/>
          <w:color w:val="222222"/>
        </w:rPr>
        <w:t>An active Core_Exchange_Automation_Rule__mdt record identifies the Account name and the RMA record type developer name.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Duplicate safety: </w:t>
      </w:r>
      <w:r>
        <w:rPr>
          <w:rFonts w:ascii="Calibri" w:hAnsi="Calibri"/>
          <w:color w:val="222222"/>
        </w:rPr>
        <w:t>The Flow checks for an existing RMA with the same Work Order and Core Exchange record type before creating one.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Backfill control: </w:t>
      </w:r>
      <w:r>
        <w:rPr>
          <w:rFonts w:ascii="Calibri" w:hAnsi="Calibri"/>
          <w:color w:val="222222"/>
        </w:rPr>
        <w:t>Historical Work Orders are not backfilled; the behavior applies when a Work Order first meets the criteria.</w:t>
      </w:r>
    </w:p>
    <w:p>
      <w:pPr>
        <w:spacing w:before="160" w:after="200" w:line="264" w:lineRule="auto"/>
        <w:ind w:left="173" w:right="72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No-hardcoding control: </w:t>
      </w:r>
      <w:r>
        <w:rPr>
          <w:rFonts w:ascii="Calibri" w:hAnsi="Calibri"/>
          <w:color w:val="222222"/>
          <w:sz w:val="21"/>
        </w:rPr>
        <w:t>The qualifying Account and RMA record type developer name are held in Custom Metadata. RecordType is resolved dynamically; no Salesforce IDs are embedded in the Flow.</w:t>
      </w:r>
    </w:p>
    <w:p>
      <w:r>
        <w:br w:type="page"/>
      </w:r>
    </w:p>
    <w:p>
      <w:pPr>
        <w:pStyle w:val="Heading1"/>
      </w:pPr>
      <w:r>
        <w:t>3. Steps to Reproduce and Validate</w:t>
      </w:r>
    </w:p>
    <w:p>
      <w:pPr>
        <w:spacing w:before="160" w:after="200" w:line="264" w:lineRule="auto"/>
        <w:ind w:left="173" w:right="72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Execution boundary: </w:t>
      </w:r>
      <w:r>
        <w:rPr>
          <w:rFonts w:ascii="Calibri" w:hAnsi="Calibri"/>
          <w:color w:val="222222"/>
          <w:sz w:val="21"/>
        </w:rPr>
        <w:t>Perform these steps in DevDO with non-production test records. Repeat in Production only after the Change Set is deployed and the business owner authorizes the smoke test.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Preconditions: </w:t>
      </w:r>
      <w:r>
        <w:rPr>
          <w:rFonts w:ascii="Calibri" w:hAnsi="Calibri"/>
          <w:color w:val="222222"/>
        </w:rPr>
        <w:t>Use DevDO test data and an authorized Work Order/RMA user. Confirm the active Core Exchange Custom Metadata rule is available, and prepare a qualifying GE account, Opportunity, Service Contract, and Work Order with no existing Core Exchange RMA.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Step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Action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Open the test Work Order and populate Account, Opportunity, and Service Contract with the qualifying DevDO records.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Save or update the Work Order so it newly meets the Flow entry criteria.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Open the Work Order related records and confirm exactly one RMA was created with the configured Core Exchange record type.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Confirm the new RMA retains the expected Work Order, Opportunity, and Service Contract relationships.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Edit and save the same qualifying Work Order again, then confirm a second Core Exchange RMA was not created.</w:t>
            </w:r>
          </w:p>
        </w:tc>
      </w:tr>
    </w:tbl>
    <w:p>
      <w:pPr>
        <w:spacing w:after="0"/>
      </w:pPr>
    </w:p>
    <w:p>
      <w:pPr>
        <w:spacing w:before="160" w:after="200" w:line="264" w:lineRule="auto"/>
        <w:ind w:left="173" w:right="72"/>
        <w:shd w:fill="F4F6F9"/>
        <w:pBdr>
          <w:left w:val="single" w:sz="18" w:space="8" w:color="1F6D4A"/>
        </w:pBdr>
      </w:pPr>
      <w:r>
        <w:rPr>
          <w:rFonts w:ascii="Calibri" w:hAnsi="Calibri"/>
          <w:b/>
          <w:color w:val="1F6D4A"/>
          <w:sz w:val="21"/>
        </w:rPr>
        <w:t xml:space="preserve">Expected result and defect signature: </w:t>
      </w:r>
      <w:r>
        <w:rPr>
          <w:rFonts w:ascii="Calibri" w:hAnsi="Calibri"/>
          <w:color w:val="222222"/>
          <w:sz w:val="21"/>
        </w:rPr>
        <w:t>Fixed result: the first qualifying transition creates exactly one configured Core Exchange RMA and later Work Order updates do not create duplicates. Original defect signature: no RMA is created automatically and manual creation is required.</w:t>
      </w:r>
    </w:p>
    <w:p>
      <w:pPr>
        <w:pStyle w:val="Heading1"/>
      </w:pPr>
      <w:r>
        <w:t>4. Verification Evidence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Focused regression: </w:t>
      </w:r>
      <w:r>
        <w:rPr>
          <w:rFonts w:ascii="Calibri" w:hAnsi="Calibri"/>
          <w:color w:val="222222"/>
        </w:rPr>
        <w:t>ProboNextFourFlowRegressionTest.case00010514CreatesOneConfiguredCoreExchangeRma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Acceptance assertion: </w:t>
      </w:r>
      <w:r>
        <w:rPr>
          <w:rFonts w:ascii="Calibri" w:hAnsi="Calibri"/>
          <w:color w:val="222222"/>
        </w:rPr>
        <w:t>A qualifying Work Order creates exactly one Core Exchange RMA, retains the Opportunity and Service Contract relationships, and does not create a duplicate after update.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Evidence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Result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Deployment validation</w:t>
            </w:r>
          </w:p>
        </w:tc>
        <w:tc>
          <w:tcPr>
            <w:tcW w:type="dxa" w:w="6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0AfiK0000000WpWSAU - 16/16 components deployed; 13/13 deployment-gate tests passed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Final regression rerun</w:t>
            </w:r>
          </w:p>
        </w:tc>
        <w:tc>
          <w:tcPr>
            <w:tcW w:type="dxa" w:w="6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707iK0000005xkHQAQ - 14 tests passed; 0 failures; 100% pass rate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Focused handler coverage</w:t>
            </w:r>
          </w:p>
        </w:tc>
        <w:tc>
          <w:tcPr>
            <w:tcW w:type="dxa" w:w="6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P_RMATriggerHandler focused coverage: 83%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DevDO tracking case</w:t>
            </w:r>
          </w:p>
        </w:tc>
        <w:tc>
          <w:tcPr>
            <w:tcW w:type="dxa" w:w="6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00010706 - Closed and independently read back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Story-Specific Change Set 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100"/>
        <w:gridCol w:w="5580"/>
        <w:gridCol w:w="168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Component type</w:t>
            </w:r>
          </w:p>
        </w:tc>
        <w:tc>
          <w:tcPr>
            <w:tcW w:type="dxa" w:w="5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API name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State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Flow</w:t>
            </w:r>
          </w:p>
        </w:tc>
        <w:tc>
          <w:tcPr>
            <w:tcW w:type="dxa" w:w="55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Create_Configured_Core_Exchange_RMA_From_Work_Order</w:t>
            </w:r>
          </w:p>
        </w:tc>
        <w:tc>
          <w:tcPr>
            <w:tcW w:type="dxa" w:w="16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Active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Apex Test</w:t>
            </w:r>
          </w:p>
        </w:tc>
        <w:tc>
          <w:tcPr>
            <w:tcW w:type="dxa" w:w="55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ProboNextFourFlowRegressionTest</w:t>
            </w:r>
          </w:p>
        </w:tc>
        <w:tc>
          <w:tcPr>
            <w:tcW w:type="dxa" w:w="16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Regression assertion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Custom Metadata Type</w:t>
            </w:r>
          </w:p>
        </w:tc>
        <w:tc>
          <w:tcPr>
            <w:tcW w:type="dxa" w:w="55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Core_Exchange_Automation_Rule__mdt</w:t>
            </w:r>
          </w:p>
        </w:tc>
        <w:tc>
          <w:tcPr>
            <w:tcW w:type="dxa" w:w="16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Included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Custom Fields</w:t>
            </w:r>
          </w:p>
        </w:tc>
        <w:tc>
          <w:tcPr>
            <w:tcW w:type="dxa" w:w="55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Account_Name__c; Active__c; RMA_Record_Type_Developer_Name__c</w:t>
            </w:r>
          </w:p>
        </w:tc>
        <w:tc>
          <w:tcPr>
            <w:tcW w:type="dxa" w:w="16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Included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Metadata Record</w:t>
            </w:r>
          </w:p>
        </w:tc>
        <w:tc>
          <w:tcPr>
            <w:tcW w:type="dxa" w:w="55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GE_Precision_Healthcare</w:t>
            </w:r>
          </w:p>
        </w:tc>
        <w:tc>
          <w:tcPr>
            <w:tcW w:type="dxa" w:w="16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Active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Calibri" w:hAnsi="Calibri"/>
          <w:b/>
          <w:color w:val="0B2545"/>
        </w:rPr>
        <w:t xml:space="preserve">Outbound Change Set: </w:t>
      </w:r>
      <w:r>
        <w:rPr>
          <w:rFonts w:ascii="Calibri" w:hAnsi="Calibri"/>
          <w:color w:val="222222"/>
        </w:rPr>
        <w:t>DEVDO Next 4 High Priority Fixes (0A2iK00000001lh) - 16 components; not uploaded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Production safety: </w:t>
      </w:r>
      <w:r>
        <w:rPr>
          <w:rFonts w:ascii="Calibri" w:hAnsi="Calibri"/>
          <w:color w:val="222222"/>
        </w:rPr>
        <w:t>The Change Set has not been uploaded or deployed. Production metadata and Production case status were not changed.</w:t>
      </w:r>
    </w:p>
    <w:p>
      <w:pPr>
        <w:pStyle w:val="Heading1"/>
      </w:pPr>
      <w:r>
        <w:t>6. Closure Gate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80"/>
        <w:gridCol w:w="1740"/>
        <w:gridCol w:w="4440"/>
      </w:tblGrid>
      <w:tr>
        <w:trPr>
          <w:tblHeader w:val="true"/>
        </w:trPr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Gate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Status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Required evidence</w:t>
            </w:r>
          </w:p>
        </w:tc>
      </w:tr>
      <w:tr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DevDO implementation complete</w:t>
            </w:r>
          </w:p>
        </w:tc>
        <w:tc>
          <w:tcPr>
            <w:tcW w:type="dxa" w:w="17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YES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Components deployed and active in DevDO</w:t>
            </w:r>
          </w:p>
        </w:tc>
      </w:tr>
      <w:tr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Automated regression passed</w:t>
            </w:r>
          </w:p>
        </w:tc>
        <w:tc>
          <w:tcPr>
            <w:tcW w:type="dxa" w:w="17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YES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Test job 707iK0000005xkHQAQ</w:t>
            </w:r>
          </w:p>
        </w:tc>
      </w:tr>
      <w:tr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Outbound Change Set prepared</w:t>
            </w:r>
          </w:p>
        </w:tc>
        <w:tc>
          <w:tcPr>
            <w:tcW w:type="dxa" w:w="17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YES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0A2iK00000001lh; 16 components</w:t>
            </w:r>
          </w:p>
        </w:tc>
      </w:tr>
      <w:tr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Production deployment</w:t>
            </w:r>
          </w:p>
        </w:tc>
        <w:tc>
          <w:tcPr>
            <w:tcW w:type="dxa" w:w="17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7A5A00"/>
                <w:sz w:val="19"/>
              </w:rPr>
              <w:t>NO - PENDING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Upload, validate, and deploy the Change Set</w:t>
            </w:r>
          </w:p>
        </w:tc>
      </w:tr>
      <w:tr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Production business smoke test</w:t>
            </w:r>
          </w:p>
        </w:tc>
        <w:tc>
          <w:tcPr>
            <w:tcW w:type="dxa" w:w="17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7A5A00"/>
                <w:sz w:val="19"/>
              </w:rPr>
              <w:t>NO - PENDING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Execute the case-specific acceptance path</w:t>
            </w:r>
          </w:p>
        </w:tc>
      </w:tr>
      <w:tr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Close original Production case</w:t>
            </w:r>
          </w:p>
        </w:tc>
        <w:tc>
          <w:tcPr>
            <w:tcW w:type="dxa" w:w="17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7A5A00"/>
                <w:sz w:val="19"/>
              </w:rPr>
              <w:t>HOLD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Close only after both Production gates pass</w:t>
            </w:r>
          </w:p>
        </w:tc>
      </w:tr>
    </w:tbl>
    <w:p>
      <w:pPr>
        <w:spacing w:after="0"/>
      </w:pPr>
    </w:p>
    <w:p>
      <w:pPr>
        <w:spacing w:before="160" w:after="200" w:line="264" w:lineRule="auto"/>
        <w:ind w:left="173" w:right="72"/>
        <w:shd w:fill="F4F6F9"/>
        <w:pBdr>
          <w:left w:val="single" w:sz="18" w:space="8" w:color="7A5A00"/>
        </w:pBdr>
      </w:pPr>
      <w:r>
        <w:rPr>
          <w:rFonts w:ascii="Calibri" w:hAnsi="Calibri"/>
          <w:b/>
          <w:color w:val="7A5A00"/>
          <w:sz w:val="21"/>
        </w:rPr>
        <w:t xml:space="preserve">Final recommendation: </w:t>
      </w:r>
      <w:r>
        <w:rPr>
          <w:rFonts w:ascii="Calibri" w:hAnsi="Calibri"/>
          <w:color w:val="222222"/>
          <w:sz w:val="21"/>
        </w:rPr>
        <w:t>DevDO work is complete and the sandbox tracking case is correctly closed. Move the original Production case to Ready for Production/UAT; do not mark the Production issue resolved until deployment and smoke-test evidence are attached.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B7280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>
      <w:rPr>
        <w:rFonts w:ascii="Calibri" w:hAnsi="Calibri"/>
        <w:b/>
        <w:color w:val="6B7280"/>
        <w:sz w:val="17"/>
      </w:rPr>
      <w:t>PROBO MEDICAL | SALESFORCE</w:t>
    </w:r>
    <w:r>
      <w:rPr>
        <w:rFonts w:ascii="Calibri" w:hAnsi="Calibri"/>
        <w:b/>
        <w:color w:val="6B7280"/>
        <w:sz w:val="17"/>
      </w:rPr>
      <w:tab/>
      <w:t>CASE 00010514 | DEVDO VALIDATION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00010514 Architect Closure Review</dc:title>
  <dc:subject>Automatically Create One Core Exchange RMA for a Qualifying Work Order</dc:subject>
  <dc:creator>Probo Medical Salesforce Team</dc:creator>
  <cp:keywords>Salesforce, DevDO, architect review, deployment readiness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