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60"/>
      </w:pPr>
      <w:r>
        <w:rPr>
          <w:rFonts w:ascii="Calibri" w:hAnsi="Calibri"/>
          <w:b/>
          <w:color w:val="2E74B5"/>
          <w:sz w:val="20"/>
        </w:rPr>
        <w:t>ARCHITECT REVIEW</w:t>
      </w:r>
    </w:p>
    <w:p>
      <w:pPr>
        <w:spacing w:before="0" w:after="80"/>
      </w:pPr>
      <w:r>
        <w:rPr>
          <w:rFonts w:ascii="Calibri" w:hAnsi="Calibri"/>
          <w:b/>
          <w:color w:val="0B2545"/>
          <w:sz w:val="48"/>
        </w:rPr>
        <w:t>Case 00009589</w:t>
      </w:r>
    </w:p>
    <w:p>
      <w:pPr>
        <w:spacing w:before="0" w:after="280"/>
      </w:pPr>
      <w:r>
        <w:rPr>
          <w:rFonts w:ascii="Calibri" w:hAnsi="Calibri"/>
          <w:b w:val="0"/>
          <w:color w:val="667085"/>
          <w:sz w:val="28"/>
        </w:rPr>
        <w:t>Service Appointment removed from Gantt when SRI is completed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r>
              <w:rPr>
                <w:rFonts w:ascii="Calibri" w:hAnsi="Calibri"/>
                <w:b/>
                <w:color w:val="0B2545"/>
                <w:sz w:val="18"/>
              </w:rPr>
              <w:t>Review field</w:t>
            </w:r>
          </w:p>
        </w:tc>
        <w:tc>
          <w:tcPr>
            <w:tcW w:type="dxa" w:w="6660"/>
            <w:shd w:fill="F2F4F7"/>
            <w:tcMar>
              <w:top w:w="80" w:type="dxa"/>
              <w:start w:w="120" w:type="dxa"/>
              <w:bottom w:w="80" w:type="dxa"/>
              <w:end w:w="120" w:type="dxa"/>
            </w:tcMar>
            <w:vAlign w:val="center"/>
          </w:tcPr>
          <w:p>
            <w:r>
              <w:rPr>
                <w:rFonts w:ascii="Calibri" w:hAnsi="Calibri"/>
                <w:b/>
                <w:color w:val="0B2545"/>
                <w:sz w:val="18"/>
              </w:rPr>
              <w:t>Value</w:t>
            </w:r>
          </w:p>
        </w:tc>
      </w:tr>
      <w:tr>
        <w:tc>
          <w:tcPr>
            <w:tcW w:type="dxa" w:w="2700"/>
            <w:shd w:fill="F2F4F7"/>
            <w:tcMar>
              <w:top w:w="80" w:type="dxa"/>
              <w:start w:w="120" w:type="dxa"/>
              <w:bottom w:w="80" w:type="dxa"/>
              <w:end w:w="120" w:type="dxa"/>
            </w:tcMar>
            <w:vAlign w:val="center"/>
          </w:tcPr>
          <w:p>
            <w:r>
              <w:rPr>
                <w:rFonts w:ascii="Calibri" w:hAnsi="Calibri"/>
                <w:b/>
                <w:color w:val="0B2545"/>
                <w:sz w:val="19"/>
              </w:rPr>
              <w:t>Environment</w:t>
            </w:r>
          </w:p>
        </w:tc>
        <w:tc>
          <w:tcPr>
            <w:tcW w:type="dxa" w:w="6660"/>
            <w:tcMar>
              <w:top w:w="80" w:type="dxa"/>
              <w:start w:w="120" w:type="dxa"/>
              <w:bottom w:w="80" w:type="dxa"/>
              <w:end w:w="120" w:type="dxa"/>
            </w:tcMar>
            <w:vAlign w:val="center"/>
          </w:tcPr>
          <w:p>
            <w:r>
              <w:rPr>
                <w:rFonts w:ascii="Calibri" w:hAnsi="Calibri"/>
                <w:color w:val="000000"/>
                <w:sz w:val="19"/>
              </w:rPr>
              <w:t>Probo Medical DevDO sandbox</w:t>
            </w:r>
          </w:p>
        </w:tc>
      </w:tr>
      <w:tr>
        <w:tc>
          <w:tcPr>
            <w:tcW w:type="dxa" w:w="2700"/>
            <w:shd w:fill="F2F4F7"/>
            <w:tcMar>
              <w:top w:w="80" w:type="dxa"/>
              <w:start w:w="120" w:type="dxa"/>
              <w:bottom w:w="80" w:type="dxa"/>
              <w:end w:w="120" w:type="dxa"/>
            </w:tcMar>
            <w:vAlign w:val="center"/>
          </w:tcPr>
          <w:p>
            <w:r>
              <w:rPr>
                <w:rFonts w:ascii="Calibri" w:hAnsi="Calibri"/>
                <w:b/>
                <w:color w:val="0B2545"/>
                <w:sz w:val="19"/>
              </w:rPr>
              <w:t>Case</w:t>
            </w:r>
          </w:p>
        </w:tc>
        <w:tc>
          <w:tcPr>
            <w:tcW w:type="dxa" w:w="6660"/>
            <w:tcMar>
              <w:top w:w="80" w:type="dxa"/>
              <w:start w:w="120" w:type="dxa"/>
              <w:bottom w:w="80" w:type="dxa"/>
              <w:end w:w="120" w:type="dxa"/>
            </w:tcMar>
            <w:vAlign w:val="center"/>
          </w:tcPr>
          <w:p>
            <w:r>
              <w:rPr>
                <w:rFonts w:ascii="Calibri" w:hAnsi="Calibri"/>
                <w:color w:val="000000"/>
                <w:sz w:val="19"/>
              </w:rPr>
              <w:t>00009589 | New | Medium</w:t>
            </w:r>
          </w:p>
        </w:tc>
      </w:tr>
      <w:tr>
        <w:tc>
          <w:tcPr>
            <w:tcW w:type="dxa" w:w="2700"/>
            <w:shd w:fill="F2F4F7"/>
            <w:tcMar>
              <w:top w:w="80" w:type="dxa"/>
              <w:start w:w="120" w:type="dxa"/>
              <w:bottom w:w="80" w:type="dxa"/>
              <w:end w:w="120" w:type="dxa"/>
            </w:tcMar>
            <w:vAlign w:val="center"/>
          </w:tcPr>
          <w:p>
            <w:r>
              <w:rPr>
                <w:rFonts w:ascii="Calibri" w:hAnsi="Calibri"/>
                <w:b/>
                <w:color w:val="0B2545"/>
                <w:sz w:val="19"/>
              </w:rPr>
              <w:t>Owner</w:t>
            </w:r>
          </w:p>
        </w:tc>
        <w:tc>
          <w:tcPr>
            <w:tcW w:type="dxa" w:w="6660"/>
            <w:tcMar>
              <w:top w:w="80" w:type="dxa"/>
              <w:start w:w="120" w:type="dxa"/>
              <w:bottom w:w="80" w:type="dxa"/>
              <w:end w:w="120" w:type="dxa"/>
            </w:tcMar>
            <w:vAlign w:val="center"/>
          </w:tcPr>
          <w:p>
            <w:r>
              <w:rPr>
                <w:rFonts w:ascii="Calibri" w:hAnsi="Calibri"/>
                <w:color w:val="000000"/>
                <w:sz w:val="19"/>
              </w:rPr>
              <w:t>Trudy Gregory</w:t>
            </w:r>
          </w:p>
        </w:tc>
      </w:tr>
      <w:tr>
        <w:tc>
          <w:tcPr>
            <w:tcW w:type="dxa" w:w="2700"/>
            <w:shd w:fill="F2F4F7"/>
            <w:tcMar>
              <w:top w:w="80" w:type="dxa"/>
              <w:start w:w="120" w:type="dxa"/>
              <w:bottom w:w="80" w:type="dxa"/>
              <w:end w:w="120" w:type="dxa"/>
            </w:tcMar>
            <w:vAlign w:val="center"/>
          </w:tcPr>
          <w:p>
            <w:r>
              <w:rPr>
                <w:rFonts w:ascii="Calibri" w:hAnsi="Calibri"/>
                <w:b/>
                <w:color w:val="0B2545"/>
                <w:sz w:val="19"/>
              </w:rPr>
              <w:t>Classification</w:t>
            </w:r>
          </w:p>
        </w:tc>
        <w:tc>
          <w:tcPr>
            <w:tcW w:type="dxa" w:w="6660"/>
            <w:tcMar>
              <w:top w:w="80" w:type="dxa"/>
              <w:start w:w="120" w:type="dxa"/>
              <w:bottom w:w="80" w:type="dxa"/>
              <w:end w:w="120" w:type="dxa"/>
            </w:tcMar>
            <w:vAlign w:val="center"/>
          </w:tcPr>
          <w:p>
            <w:r>
              <w:rPr>
                <w:rFonts w:ascii="Calibri" w:hAnsi="Calibri"/>
                <w:color w:val="000000"/>
                <w:sz w:val="19"/>
              </w:rPr>
              <w:t>Bug - Service Appointment / Work Order</w:t>
            </w:r>
          </w:p>
        </w:tc>
      </w:tr>
      <w:tr>
        <w:tc>
          <w:tcPr>
            <w:tcW w:type="dxa" w:w="2700"/>
            <w:shd w:fill="F2F4F7"/>
            <w:tcMar>
              <w:top w:w="80" w:type="dxa"/>
              <w:start w:w="120" w:type="dxa"/>
              <w:bottom w:w="80" w:type="dxa"/>
              <w:end w:w="120" w:type="dxa"/>
            </w:tcMar>
            <w:vAlign w:val="center"/>
          </w:tcPr>
          <w:p>
            <w:r>
              <w:rPr>
                <w:rFonts w:ascii="Calibri" w:hAnsi="Calibri"/>
                <w:b/>
                <w:color w:val="0B2545"/>
                <w:sz w:val="19"/>
              </w:rPr>
              <w:t>Evidence date</w:t>
            </w:r>
          </w:p>
        </w:tc>
        <w:tc>
          <w:tcPr>
            <w:tcW w:type="dxa" w:w="6660"/>
            <w:tcMar>
              <w:top w:w="80" w:type="dxa"/>
              <w:start w:w="120" w:type="dxa"/>
              <w:bottom w:w="80" w:type="dxa"/>
              <w:end w:w="120" w:type="dxa"/>
            </w:tcMar>
            <w:vAlign w:val="center"/>
          </w:tcPr>
          <w:p>
            <w:r>
              <w:rPr>
                <w:rFonts w:ascii="Calibri" w:hAnsi="Calibri"/>
                <w:color w:val="000000"/>
                <w:sz w:val="19"/>
              </w:rPr>
              <w:t>September 1, 2026</w:t>
            </w:r>
          </w:p>
        </w:tc>
      </w:tr>
    </w:tbl>
    <w:p>
      <w:pPr>
        <w:pStyle w:val="Heading1"/>
      </w:pPr>
      <w:r>
        <w:t>Executive decision</w:t>
      </w:r>
    </w:p>
    <w:p>
      <w:pPr>
        <w:pStyle w:val="Callout"/>
        <w:shd w:fill="F4F6F9"/>
        <w:ind w:left="160" w:right="160"/>
      </w:pPr>
      <w:r>
        <w:rPr>
          <w:rFonts w:ascii="Calibri" w:hAnsi="Calibri"/>
          <w:b/>
          <w:color w:val="7A5A00"/>
          <w:sz w:val="21"/>
        </w:rPr>
        <w:t xml:space="preserve">APPROVE FOR DEVDO UAT; PACKAGING ACTION REQUIRED: </w:t>
      </w:r>
      <w:r>
        <w:rPr>
          <w:rFonts w:ascii="Calibri" w:hAnsi="Calibri"/>
          <w:color w:val="0B2545"/>
          <w:sz w:val="21"/>
        </w:rPr>
        <w:t>The status-regression defect is addressed and tested in DevDO. Before the outbound change set is ready, the Service Appointment Status Rule custom metadata type and Pending Authorization To Internal record must be added to the story-specific draft.</w:t>
      </w:r>
    </w:p>
    <w:p>
      <w:pPr>
        <w:pStyle w:val="Heading1"/>
      </w:pPr>
      <w:r>
        <w:t>Story and operational impact</w:t>
      </w:r>
    </w:p>
    <w:p>
      <w:r>
        <w:t>Completing an SRI could move an already scheduled or dispatched Service Appointment back to Internal, removing it from the Gantt and creating a risk of a missed visit.</w:t>
      </w:r>
    </w:p>
    <w:p>
      <w:pPr>
        <w:pStyle w:val="Heading1"/>
      </w:pPr>
      <w:r>
        <w:t>Steps to reproduce</w:t>
      </w:r>
    </w:p>
    <w:p>
      <w:pPr>
        <w:numPr>
          <w:ilvl w:val="0"/>
          <w:numId w:val="44"/>
        </w:numPr>
        <w:spacing w:after="160" w:line="280" w:lineRule="auto"/>
      </w:pPr>
      <w:r>
        <w:t>Create or identify a Service Appointment that is Scheduled or Dispatched and visible on the Dispatcher Console Gantt.</w:t>
      </w:r>
    </w:p>
    <w:p>
      <w:pPr>
        <w:numPr>
          <w:ilvl w:val="0"/>
          <w:numId w:val="44"/>
        </w:numPr>
        <w:spacing w:after="160" w:line="280" w:lineRule="auto"/>
      </w:pPr>
      <w:r>
        <w:t>Assign the Service Appointment to an engineer and confirm it remains visible on the intended date.</w:t>
      </w:r>
    </w:p>
    <w:p>
      <w:pPr>
        <w:numPr>
          <w:ilvl w:val="0"/>
          <w:numId w:val="44"/>
        </w:numPr>
        <w:spacing w:after="160" w:line="280" w:lineRule="auto"/>
      </w:pPr>
      <w:r>
        <w:t>Create or use a related SRI for a part or service item. The reported example used SA-17132 and SRI-00015817.</w:t>
      </w:r>
    </w:p>
    <w:p>
      <w:pPr>
        <w:numPr>
          <w:ilvl w:val="0"/>
          <w:numId w:val="44"/>
        </w:numPr>
        <w:spacing w:after="160" w:line="280" w:lineRule="auto"/>
      </w:pPr>
      <w:r>
        <w:t>Complete the related SRI.</w:t>
      </w:r>
    </w:p>
    <w:p>
      <w:pPr>
        <w:numPr>
          <w:ilvl w:val="0"/>
          <w:numId w:val="44"/>
        </w:numPr>
        <w:spacing w:after="160" w:line="280" w:lineRule="auto"/>
      </w:pPr>
      <w:r>
        <w:t>Refresh the Service Appointment and the Dispatcher Console Gantt, then inspect the appointment status and visibility.</w:t>
      </w:r>
    </w:p>
    <w:p>
      <w:pPr>
        <w:pStyle w:val="Callout"/>
        <w:shd w:fill="F4F6F9"/>
        <w:ind w:left="160" w:right="160"/>
      </w:pPr>
      <w:r>
        <w:rPr>
          <w:rFonts w:ascii="Calibri" w:hAnsi="Calibri"/>
          <w:b/>
          <w:color w:val="1F5E46"/>
          <w:sz w:val="21"/>
        </w:rPr>
        <w:t xml:space="preserve">Expected result: </w:t>
      </w:r>
      <w:r>
        <w:rPr>
          <w:rFonts w:ascii="Calibri" w:hAnsi="Calibri"/>
          <w:color w:val="0B2545"/>
          <w:sz w:val="21"/>
        </w:rPr>
        <w:t>Completing the SRI does not change an active Scheduled or Dispatched appointment, and the appointment remains on the Gantt.</w:t>
      </w:r>
    </w:p>
    <w:p>
      <w:pPr>
        <w:pStyle w:val="Callout"/>
        <w:shd w:fill="F4F6F9"/>
        <w:ind w:left="160" w:right="160"/>
      </w:pPr>
      <w:r>
        <w:rPr>
          <w:rFonts w:ascii="Calibri" w:hAnsi="Calibri"/>
          <w:b/>
          <w:color w:val="9B1C1C"/>
          <w:sz w:val="21"/>
        </w:rPr>
        <w:t xml:space="preserve">Pre-fix actual result: </w:t>
      </w:r>
      <w:r>
        <w:rPr>
          <w:rFonts w:ascii="Calibri" w:hAnsi="Calibri"/>
          <w:color w:val="0B2545"/>
          <w:sz w:val="21"/>
        </w:rPr>
        <w:t>Before the fix, the appointment could be moved back to Internal and disappear from the Gantt.</w:t>
      </w:r>
    </w:p>
    <w:p>
      <w:pPr>
        <w:pStyle w:val="Heading1"/>
      </w:pPr>
      <w:r>
        <w:t>Root cause</w:t>
      </w:r>
    </w:p>
    <w:p>
      <w:r>
        <w:t>The asynchronous SRI Flow relied on a related-record status reference and hard-coded both the trigger status 'Pending Customer Authorization' and target status 'Internal'. The decision could operate on stale or inappropriate status context and regress an active appointment.</w:t>
      </w:r>
    </w:p>
    <w:p>
      <w:pPr>
        <w:pStyle w:val="Heading1"/>
      </w:pPr>
      <w:r>
        <w:t>Implemented design</w:t>
      </w:r>
    </w:p>
    <w:p>
      <w:pPr>
        <w:numPr>
          <w:ilvl w:val="0"/>
          <w:numId w:val="42"/>
        </w:numPr>
        <w:spacing w:after="160" w:line="280" w:lineRule="auto"/>
      </w:pPr>
      <w:r>
        <w:t>Retrieves the current Service Appointment record before evaluating any status change.</w:t>
      </w:r>
    </w:p>
    <w:p>
      <w:pPr>
        <w:numPr>
          <w:ilvl w:val="0"/>
          <w:numId w:val="42"/>
        </w:numPr>
        <w:spacing w:after="160" w:line="280" w:lineRule="auto"/>
      </w:pPr>
      <w:r>
        <w:t>Looks up an active Service Appointment Status Rule custom metadata record whose Trigger Status matches the current appointment status.</w:t>
      </w:r>
    </w:p>
    <w:p>
      <w:pPr>
        <w:numPr>
          <w:ilvl w:val="0"/>
          <w:numId w:val="42"/>
        </w:numPr>
        <w:spacing w:after="160" w:line="280" w:lineRule="auto"/>
      </w:pPr>
      <w:r>
        <w:t>Uses the metadata Target Status rather than a hard-coded Flow assignment.</w:t>
      </w:r>
    </w:p>
    <w:p>
      <w:pPr>
        <w:numPr>
          <w:ilvl w:val="0"/>
          <w:numId w:val="42"/>
        </w:numPr>
        <w:spacing w:after="160" w:line="280" w:lineRule="auto"/>
      </w:pPr>
      <w:r>
        <w:t>Performs no status update when no active rule matches, preserving scheduled or dispatched appointments on the Gantt.</w:t>
      </w:r>
    </w:p>
    <w:p>
      <w:pPr>
        <w:numPr>
          <w:ilvl w:val="0"/>
          <w:numId w:val="42"/>
        </w:numPr>
        <w:spacing w:after="160" w:line="280" w:lineRule="auto"/>
      </w:pPr>
      <w:r>
        <w:t>Provides a configured Pending Customer Authorization to Internal rule for the intended legacy transition.</w:t>
      </w:r>
    </w:p>
    <w:p>
      <w:pPr>
        <w:pStyle w:val="Heading1"/>
      </w:pPr>
      <w:r>
        <w:t>Hard-coded value assessment</w:t>
      </w:r>
    </w:p>
    <w:p>
      <w:pPr>
        <w:pStyle w:val="Callout"/>
        <w:shd w:fill="F4F6F9"/>
        <w:ind w:left="160" w:right="160"/>
      </w:pPr>
      <w:r>
        <w:rPr>
          <w:rFonts w:ascii="Calibri" w:hAnsi="Calibri"/>
          <w:b/>
          <w:color w:val="1F4D78"/>
          <w:sz w:val="21"/>
        </w:rPr>
        <w:t xml:space="preserve">Assessment: </w:t>
      </w:r>
      <w:r>
        <w:rPr>
          <w:rFonts w:ascii="Calibri" w:hAnsi="Calibri"/>
          <w:color w:val="0B2545"/>
          <w:sz w:val="21"/>
        </w:rPr>
        <w:t>Resolved in Flow logic. The trigger and target status strings were moved from Flow elements into a configurable custom metadata rule. Future allowed transitions can be managed as metadata records without editing the Flow.</w:t>
      </w:r>
    </w:p>
    <w:p>
      <w:pPr>
        <w:pStyle w:val="Heading1"/>
      </w:pPr>
      <w:r>
        <w:t>Metadata scope</w:t>
      </w:r>
    </w:p>
    <w:p>
      <w:pPr>
        <w:pStyle w:val="TableCitation"/>
      </w:pPr>
      <w:r>
        <w:t>Story-specific deployment package</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F2F4F7"/>
            <w:tcMar>
              <w:top w:w="80" w:type="dxa"/>
              <w:start w:w="120" w:type="dxa"/>
              <w:bottom w:w="80" w:type="dxa"/>
              <w:end w:w="120" w:type="dxa"/>
            </w:tcMar>
            <w:vAlign w:val="center"/>
          </w:tcPr>
          <w:p>
            <w:r>
              <w:rPr>
                <w:rFonts w:ascii="Calibri" w:hAnsi="Calibri"/>
                <w:b/>
                <w:color w:val="0B2545"/>
                <w:sz w:val="18"/>
              </w:rPr>
              <w:t>Type</w:t>
            </w:r>
          </w:p>
        </w:tc>
        <w:tc>
          <w:tcPr>
            <w:tcW w:type="dxa" w:w="3500"/>
            <w:shd w:fill="F2F4F7"/>
            <w:tcMar>
              <w:top w:w="80" w:type="dxa"/>
              <w:start w:w="120" w:type="dxa"/>
              <w:bottom w:w="80" w:type="dxa"/>
              <w:end w:w="120" w:type="dxa"/>
            </w:tcMar>
            <w:vAlign w:val="center"/>
          </w:tcPr>
          <w:p>
            <w:r>
              <w:rPr>
                <w:rFonts w:ascii="Calibri" w:hAnsi="Calibri"/>
                <w:b/>
                <w:color w:val="0B2545"/>
                <w:sz w:val="18"/>
              </w:rPr>
              <w:t>Component</w:t>
            </w:r>
          </w:p>
        </w:tc>
        <w:tc>
          <w:tcPr>
            <w:tcW w:type="dxa" w:w="3960"/>
            <w:shd w:fill="F2F4F7"/>
            <w:tcMar>
              <w:top w:w="80" w:type="dxa"/>
              <w:start w:w="120" w:type="dxa"/>
              <w:bottom w:w="80" w:type="dxa"/>
              <w:end w:w="120" w:type="dxa"/>
            </w:tcMar>
            <w:vAlign w:val="center"/>
          </w:tcPr>
          <w:p>
            <w:r>
              <w:rPr>
                <w:rFonts w:ascii="Calibri" w:hAnsi="Calibri"/>
                <w:b/>
                <w:color w:val="0B2545"/>
                <w:sz w:val="18"/>
              </w:rPr>
              <w:t>Purpose</w:t>
            </w:r>
          </w:p>
        </w:tc>
      </w:tr>
      <w:tr>
        <w:tc>
          <w:tcPr>
            <w:tcW w:type="dxa" w:w="1900"/>
            <w:tcMar>
              <w:top w:w="80" w:type="dxa"/>
              <w:start w:w="120" w:type="dxa"/>
              <w:bottom w:w="80" w:type="dxa"/>
              <w:end w:w="120" w:type="dxa"/>
            </w:tcMar>
            <w:vAlign w:val="center"/>
          </w:tcPr>
          <w:p>
            <w:r>
              <w:rPr>
                <w:rFonts w:ascii="Calibri" w:hAnsi="Calibri"/>
                <w:color w:val="000000"/>
                <w:sz w:val="17"/>
              </w:rPr>
              <w:t>Flow</w:t>
            </w:r>
          </w:p>
        </w:tc>
        <w:tc>
          <w:tcPr>
            <w:tcW w:type="dxa" w:w="3500"/>
            <w:tcMar>
              <w:top w:w="80" w:type="dxa"/>
              <w:start w:w="120" w:type="dxa"/>
              <w:bottom w:w="80" w:type="dxa"/>
              <w:end w:w="120" w:type="dxa"/>
            </w:tcMar>
            <w:vAlign w:val="center"/>
          </w:tcPr>
          <w:p>
            <w:r>
              <w:rPr>
                <w:rFonts w:ascii="Calibri" w:hAnsi="Calibri"/>
                <w:color w:val="000000"/>
                <w:sz w:val="17"/>
              </w:rPr>
              <w:t>On_Create_of_SRI_Check_if_SA_status_needs_to_be_updated</w:t>
            </w:r>
          </w:p>
        </w:tc>
        <w:tc>
          <w:tcPr>
            <w:tcW w:type="dxa" w:w="3960"/>
            <w:tcMar>
              <w:top w:w="80" w:type="dxa"/>
              <w:start w:w="120" w:type="dxa"/>
              <w:bottom w:w="80" w:type="dxa"/>
              <w:end w:w="120" w:type="dxa"/>
            </w:tcMar>
            <w:vAlign w:val="center"/>
          </w:tcPr>
          <w:p>
            <w:r>
              <w:rPr>
                <w:rFonts w:ascii="Calibri" w:hAnsi="Calibri"/>
                <w:color w:val="000000"/>
                <w:sz w:val="17"/>
              </w:rPr>
              <w:t>Current-state lookup and metadata-driven transition</w:t>
            </w:r>
          </w:p>
        </w:tc>
      </w:tr>
      <w:tr>
        <w:tc>
          <w:tcPr>
            <w:tcW w:type="dxa" w:w="1900"/>
            <w:tcMar>
              <w:top w:w="80" w:type="dxa"/>
              <w:start w:w="120" w:type="dxa"/>
              <w:bottom w:w="80" w:type="dxa"/>
              <w:end w:w="120" w:type="dxa"/>
            </w:tcMar>
            <w:vAlign w:val="center"/>
          </w:tcPr>
          <w:p>
            <w:r>
              <w:rPr>
                <w:rFonts w:ascii="Calibri" w:hAnsi="Calibri"/>
                <w:color w:val="000000"/>
                <w:sz w:val="17"/>
              </w:rPr>
              <w:t>Apex Test</w:t>
            </w:r>
          </w:p>
        </w:tc>
        <w:tc>
          <w:tcPr>
            <w:tcW w:type="dxa" w:w="3500"/>
            <w:tcMar>
              <w:top w:w="80" w:type="dxa"/>
              <w:start w:w="120" w:type="dxa"/>
              <w:bottom w:w="80" w:type="dxa"/>
              <w:end w:w="120" w:type="dxa"/>
            </w:tcMar>
            <w:vAlign w:val="center"/>
          </w:tcPr>
          <w:p>
            <w:r>
              <w:rPr>
                <w:rFonts w:ascii="Calibri" w:hAnsi="Calibri"/>
                <w:color w:val="000000"/>
                <w:sz w:val="17"/>
              </w:rPr>
              <w:t>ProboNextFourFlowRegressionTest</w:t>
            </w:r>
          </w:p>
        </w:tc>
        <w:tc>
          <w:tcPr>
            <w:tcW w:type="dxa" w:w="3960"/>
            <w:tcMar>
              <w:top w:w="80" w:type="dxa"/>
              <w:start w:w="120" w:type="dxa"/>
              <w:bottom w:w="80" w:type="dxa"/>
              <w:end w:w="120" w:type="dxa"/>
            </w:tcMar>
            <w:vAlign w:val="center"/>
          </w:tcPr>
          <w:p>
            <w:r>
              <w:rPr>
                <w:rFonts w:ascii="Calibri" w:hAnsi="Calibri"/>
                <w:color w:val="000000"/>
                <w:sz w:val="17"/>
              </w:rPr>
              <w:t>Protects dispatched appointments from regression</w:t>
            </w:r>
          </w:p>
        </w:tc>
      </w:tr>
      <w:tr>
        <w:tc>
          <w:tcPr>
            <w:tcW w:type="dxa" w:w="1900"/>
            <w:tcMar>
              <w:top w:w="80" w:type="dxa"/>
              <w:start w:w="120" w:type="dxa"/>
              <w:bottom w:w="80" w:type="dxa"/>
              <w:end w:w="120" w:type="dxa"/>
            </w:tcMar>
            <w:vAlign w:val="center"/>
          </w:tcPr>
          <w:p>
            <w:r>
              <w:rPr>
                <w:rFonts w:ascii="Calibri" w:hAnsi="Calibri"/>
                <w:color w:val="000000"/>
                <w:sz w:val="17"/>
              </w:rPr>
              <w:t>Custom Metadata Type</w:t>
            </w:r>
          </w:p>
        </w:tc>
        <w:tc>
          <w:tcPr>
            <w:tcW w:type="dxa" w:w="3500"/>
            <w:tcMar>
              <w:top w:w="80" w:type="dxa"/>
              <w:start w:w="120" w:type="dxa"/>
              <w:bottom w:w="80" w:type="dxa"/>
              <w:end w:w="120" w:type="dxa"/>
            </w:tcMar>
            <w:vAlign w:val="center"/>
          </w:tcPr>
          <w:p>
            <w:r>
              <w:rPr>
                <w:rFonts w:ascii="Calibri" w:hAnsi="Calibri"/>
                <w:color w:val="000000"/>
                <w:sz w:val="17"/>
              </w:rPr>
              <w:t>Service_Appointment_Status_Rule__mdt</w:t>
            </w:r>
          </w:p>
        </w:tc>
        <w:tc>
          <w:tcPr>
            <w:tcW w:type="dxa" w:w="3960"/>
            <w:tcMar>
              <w:top w:w="80" w:type="dxa"/>
              <w:start w:w="120" w:type="dxa"/>
              <w:bottom w:w="80" w:type="dxa"/>
              <w:end w:w="120" w:type="dxa"/>
            </w:tcMar>
            <w:vAlign w:val="center"/>
          </w:tcPr>
          <w:p>
            <w:r>
              <w:rPr>
                <w:rFonts w:ascii="Calibri" w:hAnsi="Calibri"/>
                <w:color w:val="000000"/>
                <w:sz w:val="17"/>
              </w:rPr>
              <w:t>Configurable status-transition schema</w:t>
            </w:r>
          </w:p>
        </w:tc>
      </w:tr>
      <w:tr>
        <w:tc>
          <w:tcPr>
            <w:tcW w:type="dxa" w:w="1900"/>
            <w:tcMar>
              <w:top w:w="80" w:type="dxa"/>
              <w:start w:w="120" w:type="dxa"/>
              <w:bottom w:w="80" w:type="dxa"/>
              <w:end w:w="120" w:type="dxa"/>
            </w:tcMar>
            <w:vAlign w:val="center"/>
          </w:tcPr>
          <w:p>
            <w:r>
              <w:rPr>
                <w:rFonts w:ascii="Calibri" w:hAnsi="Calibri"/>
                <w:color w:val="000000"/>
                <w:sz w:val="17"/>
              </w:rPr>
              <w:t>Custom Fields</w:t>
            </w:r>
          </w:p>
        </w:tc>
        <w:tc>
          <w:tcPr>
            <w:tcW w:type="dxa" w:w="3500"/>
            <w:tcMar>
              <w:top w:w="80" w:type="dxa"/>
              <w:start w:w="120" w:type="dxa"/>
              <w:bottom w:w="80" w:type="dxa"/>
              <w:end w:w="120" w:type="dxa"/>
            </w:tcMar>
            <w:vAlign w:val="center"/>
          </w:tcPr>
          <w:p>
            <w:r>
              <w:rPr>
                <w:rFonts w:ascii="Calibri" w:hAnsi="Calibri"/>
                <w:color w:val="000000"/>
                <w:sz w:val="17"/>
              </w:rPr>
              <w:t>Active__c; Trigger_Status__c; Target_Status__c</w:t>
            </w:r>
          </w:p>
        </w:tc>
        <w:tc>
          <w:tcPr>
            <w:tcW w:type="dxa" w:w="3960"/>
            <w:tcMar>
              <w:top w:w="80" w:type="dxa"/>
              <w:start w:w="120" w:type="dxa"/>
              <w:bottom w:w="80" w:type="dxa"/>
              <w:end w:w="120" w:type="dxa"/>
            </w:tcMar>
            <w:vAlign w:val="center"/>
          </w:tcPr>
          <w:p>
            <w:r>
              <w:rPr>
                <w:rFonts w:ascii="Calibri" w:hAnsi="Calibri"/>
                <w:color w:val="000000"/>
                <w:sz w:val="17"/>
              </w:rPr>
              <w:t>Rule enablement and transition values</w:t>
            </w:r>
          </w:p>
        </w:tc>
      </w:tr>
      <w:tr>
        <w:tc>
          <w:tcPr>
            <w:tcW w:type="dxa" w:w="1900"/>
            <w:tcMar>
              <w:top w:w="80" w:type="dxa"/>
              <w:start w:w="120" w:type="dxa"/>
              <w:bottom w:w="80" w:type="dxa"/>
              <w:end w:w="120" w:type="dxa"/>
            </w:tcMar>
            <w:vAlign w:val="center"/>
          </w:tcPr>
          <w:p>
            <w:r>
              <w:rPr>
                <w:rFonts w:ascii="Calibri" w:hAnsi="Calibri"/>
                <w:color w:val="000000"/>
                <w:sz w:val="17"/>
              </w:rPr>
              <w:t>Custom Metadata Record</w:t>
            </w:r>
          </w:p>
        </w:tc>
        <w:tc>
          <w:tcPr>
            <w:tcW w:type="dxa" w:w="3500"/>
            <w:tcMar>
              <w:top w:w="80" w:type="dxa"/>
              <w:start w:w="120" w:type="dxa"/>
              <w:bottom w:w="80" w:type="dxa"/>
              <w:end w:w="120" w:type="dxa"/>
            </w:tcMar>
            <w:vAlign w:val="center"/>
          </w:tcPr>
          <w:p>
            <w:r>
              <w:rPr>
                <w:rFonts w:ascii="Calibri" w:hAnsi="Calibri"/>
                <w:color w:val="000000"/>
                <w:sz w:val="17"/>
              </w:rPr>
              <w:t>Pending_Authorization_To_Internal</w:t>
            </w:r>
          </w:p>
        </w:tc>
        <w:tc>
          <w:tcPr>
            <w:tcW w:type="dxa" w:w="3960"/>
            <w:tcMar>
              <w:top w:w="80" w:type="dxa"/>
              <w:start w:w="120" w:type="dxa"/>
              <w:bottom w:w="80" w:type="dxa"/>
              <w:end w:w="120" w:type="dxa"/>
            </w:tcMar>
            <w:vAlign w:val="center"/>
          </w:tcPr>
          <w:p>
            <w:r>
              <w:rPr>
                <w:rFonts w:ascii="Calibri" w:hAnsi="Calibri"/>
                <w:color w:val="000000"/>
                <w:sz w:val="17"/>
              </w:rPr>
              <w:t>Pending Customer Authorization to Internal</w:t>
            </w:r>
          </w:p>
        </w:tc>
      </w:tr>
    </w:tbl>
    <w:p>
      <w:pPr>
        <w:pStyle w:val="Heading1"/>
      </w:pPr>
      <w:r>
        <w:t>Verified DevDO evidence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r>
              <w:rPr>
                <w:rFonts w:ascii="Calibri" w:hAnsi="Calibri"/>
                <w:b/>
                <w:color w:val="0B2545"/>
                <w:sz w:val="18"/>
              </w:rPr>
              <w:t>Evidence</w:t>
            </w:r>
          </w:p>
        </w:tc>
        <w:tc>
          <w:tcPr>
            <w:tcW w:type="dxa" w:w="7260"/>
            <w:shd w:fill="F2F4F7"/>
            <w:tcMar>
              <w:top w:w="80" w:type="dxa"/>
              <w:start w:w="120" w:type="dxa"/>
              <w:bottom w:w="80" w:type="dxa"/>
              <w:end w:w="120" w:type="dxa"/>
            </w:tcMar>
            <w:vAlign w:val="center"/>
          </w:tcPr>
          <w:p>
            <w:r>
              <w:rPr>
                <w:rFonts w:ascii="Calibri" w:hAnsi="Calibri"/>
                <w:b/>
                <w:color w:val="0B2545"/>
                <w:sz w:val="18"/>
              </w:rPr>
              <w:t>Verified result</w:t>
            </w:r>
          </w:p>
        </w:tc>
      </w:tr>
      <w:tr>
        <w:tc>
          <w:tcPr>
            <w:tcW w:type="dxa" w:w="2100"/>
            <w:shd w:fill="F2F4F7"/>
            <w:tcMar>
              <w:top w:w="80" w:type="dxa"/>
              <w:start w:w="120" w:type="dxa"/>
              <w:bottom w:w="80" w:type="dxa"/>
              <w:end w:w="120" w:type="dxa"/>
            </w:tcMar>
            <w:vAlign w:val="center"/>
          </w:tcPr>
          <w:p>
            <w:r>
              <w:rPr>
                <w:rFonts w:ascii="Calibri" w:hAnsi="Calibri"/>
                <w:b/>
                <w:color w:val="0B2545"/>
                <w:sz w:val="18"/>
              </w:rPr>
              <w:t>Deployment</w:t>
            </w:r>
          </w:p>
        </w:tc>
        <w:tc>
          <w:tcPr>
            <w:tcW w:type="dxa" w:w="7260"/>
            <w:tcMar>
              <w:top w:w="80" w:type="dxa"/>
              <w:start w:w="120" w:type="dxa"/>
              <w:bottom w:w="80" w:type="dxa"/>
              <w:end w:w="120" w:type="dxa"/>
            </w:tcMar>
            <w:vAlign w:val="center"/>
          </w:tcPr>
          <w:p>
            <w:r>
              <w:rPr>
                <w:rFonts w:ascii="Calibri" w:hAnsi="Calibri"/>
                <w:color w:val="000000"/>
                <w:sz w:val="18"/>
              </w:rPr>
              <w:t>0AfiK0000000X8rSAE - Succeeded; 16/16 components; zero component errors</w:t>
            </w:r>
          </w:p>
        </w:tc>
      </w:tr>
      <w:tr>
        <w:tc>
          <w:tcPr>
            <w:tcW w:type="dxa" w:w="2100"/>
            <w:shd w:fill="F2F4F7"/>
            <w:tcMar>
              <w:top w:w="80" w:type="dxa"/>
              <w:start w:w="120" w:type="dxa"/>
              <w:bottom w:w="80" w:type="dxa"/>
              <w:end w:w="120" w:type="dxa"/>
            </w:tcMar>
            <w:vAlign w:val="center"/>
          </w:tcPr>
          <w:p>
            <w:r>
              <w:rPr>
                <w:rFonts w:ascii="Calibri" w:hAnsi="Calibri"/>
                <w:b/>
                <w:color w:val="0B2545"/>
                <w:sz w:val="18"/>
              </w:rPr>
              <w:t>Tests</w:t>
            </w:r>
          </w:p>
        </w:tc>
        <w:tc>
          <w:tcPr>
            <w:tcW w:type="dxa" w:w="7260"/>
            <w:tcMar>
              <w:top w:w="80" w:type="dxa"/>
              <w:start w:w="120" w:type="dxa"/>
              <w:bottom w:w="80" w:type="dxa"/>
              <w:end w:w="120" w:type="dxa"/>
            </w:tcMar>
            <w:vAlign w:val="center"/>
          </w:tcPr>
          <w:p>
            <w:r>
              <w:rPr>
                <w:rFonts w:ascii="Calibri" w:hAnsi="Calibri"/>
                <w:color w:val="000000"/>
                <w:sz w:val="18"/>
              </w:rPr>
              <w:t>13/13 completed; zero failures; zero test errors</w:t>
            </w:r>
          </w:p>
        </w:tc>
      </w:tr>
      <w:tr>
        <w:tc>
          <w:tcPr>
            <w:tcW w:type="dxa" w:w="2100"/>
            <w:shd w:fill="F2F4F7"/>
            <w:tcMar>
              <w:top w:w="80" w:type="dxa"/>
              <w:start w:w="120" w:type="dxa"/>
              <w:bottom w:w="80" w:type="dxa"/>
              <w:end w:w="120" w:type="dxa"/>
            </w:tcMar>
            <w:vAlign w:val="center"/>
          </w:tcPr>
          <w:p>
            <w:r>
              <w:rPr>
                <w:rFonts w:ascii="Calibri" w:hAnsi="Calibri"/>
                <w:b/>
                <w:color w:val="0B2545"/>
                <w:sz w:val="18"/>
              </w:rPr>
              <w:t>Story regression</w:t>
            </w:r>
          </w:p>
        </w:tc>
        <w:tc>
          <w:tcPr>
            <w:tcW w:type="dxa" w:w="7260"/>
            <w:tcMar>
              <w:top w:w="80" w:type="dxa"/>
              <w:start w:w="120" w:type="dxa"/>
              <w:bottom w:w="80" w:type="dxa"/>
              <w:end w:w="120" w:type="dxa"/>
            </w:tcMar>
            <w:vAlign w:val="center"/>
          </w:tcPr>
          <w:p>
            <w:r>
              <w:rPr>
                <w:rFonts w:ascii="Calibri" w:hAnsi="Calibri"/>
                <w:color w:val="000000"/>
                <w:sz w:val="18"/>
              </w:rPr>
              <w:t>ProboNextFourFlowRegressionTest.case00009589DispatchedAppointmentDoesNotReturnToInternal - Passed</w:t>
            </w:r>
          </w:p>
        </w:tc>
      </w:tr>
    </w:tbl>
    <w:p>
      <w:r>
        <w:t>Passed in deployment 0AfiK0000000X8rSAE; shared run completed 13/13 tests with zero failures.</w:t>
      </w:r>
    </w:p>
    <w:p>
      <w:pPr>
        <w:pStyle w:val="Heading1"/>
      </w:pPr>
      <w:r>
        <w:t>Outbound change-set status</w:t>
      </w:r>
    </w:p>
    <w:p>
      <w:r>
        <w:t>Draft change set 'Story 00009589 Service Appointment Gantt' is Open and not uploaded. The Flow and regression test were confirmed. The Service Appointment Status Rule type and Pending_Authorization_To_Internal record still require addition and final UI verification.</w:t>
      </w:r>
    </w:p>
    <w:p>
      <w:pPr>
        <w:pStyle w:val="Heading1"/>
      </w:pPr>
      <w:r>
        <w:t>UAT acceptance checklist</w:t>
      </w:r>
    </w:p>
    <w:p>
      <w:pPr>
        <w:numPr>
          <w:ilvl w:val="0"/>
          <w:numId w:val="43"/>
        </w:numPr>
        <w:spacing w:after="160" w:line="280" w:lineRule="auto"/>
      </w:pPr>
      <w:r>
        <w:t>Use a Service Appointment that is visible on the Gantt and has status Dispatched; complete the related SRI.</w:t>
      </w:r>
    </w:p>
    <w:p>
      <w:pPr>
        <w:numPr>
          <w:ilvl w:val="0"/>
          <w:numId w:val="43"/>
        </w:numPr>
        <w:spacing w:after="160" w:line="280" w:lineRule="auto"/>
      </w:pPr>
      <w:r>
        <w:t>Verify the Service Appointment remains Dispatched and stays on the Gantt.</w:t>
      </w:r>
    </w:p>
    <w:p>
      <w:pPr>
        <w:numPr>
          <w:ilvl w:val="0"/>
          <w:numId w:val="43"/>
        </w:numPr>
        <w:spacing w:after="160" w:line="280" w:lineRule="auto"/>
      </w:pPr>
      <w:r>
        <w:t>Repeat for Scheduled or another operational status that has no active transition rule; verify no regression occurs.</w:t>
      </w:r>
    </w:p>
    <w:p>
      <w:pPr>
        <w:numPr>
          <w:ilvl w:val="0"/>
          <w:numId w:val="43"/>
        </w:numPr>
        <w:spacing w:after="160" w:line="280" w:lineRule="auto"/>
      </w:pPr>
      <w:r>
        <w:t>Use a Service Appointment in Pending Customer Authorization; complete the related SRI and verify it transitions to Internal.</w:t>
      </w:r>
    </w:p>
    <w:p>
      <w:pPr>
        <w:numPr>
          <w:ilvl w:val="0"/>
          <w:numId w:val="43"/>
        </w:numPr>
        <w:spacing w:after="160" w:line="280" w:lineRule="auto"/>
      </w:pPr>
      <w:r>
        <w:t>Deactivate the metadata rule in a test context and verify the Flow performs no transition.</w:t>
      </w:r>
    </w:p>
    <w:p>
      <w:pPr>
        <w:pStyle w:val="Heading1"/>
      </w:pPr>
      <w:r>
        <w:t>Risks and production gates</w:t>
      </w:r>
    </w:p>
    <w:p>
      <w:pPr>
        <w:numPr>
          <w:ilvl w:val="0"/>
          <w:numId w:val="42"/>
        </w:numPr>
        <w:spacing w:after="160" w:line="280" w:lineRule="auto"/>
      </w:pPr>
      <w:r>
        <w:t>The Flow depends on the custom metadata type, its three fields, and the active rule record; omitting any of them from the change set will break the intended configuration.</w:t>
      </w:r>
    </w:p>
    <w:p>
      <w:pPr>
        <w:numPr>
          <w:ilvl w:val="0"/>
          <w:numId w:val="42"/>
        </w:numPr>
        <w:spacing w:after="160" w:line="280" w:lineRule="auto"/>
      </w:pPr>
      <w:r>
        <w:t>Exact status spelling must match Salesforce status values; governance is required for new rules.</w:t>
      </w:r>
    </w:p>
    <w:p>
      <w:pPr>
        <w:numPr>
          <w:ilvl w:val="0"/>
          <w:numId w:val="42"/>
        </w:numPr>
        <w:spacing w:after="160" w:line="280" w:lineRule="auto"/>
      </w:pPr>
      <w:r>
        <w:t>The browser session timed out while packaging the metadata, so story-level outbound change-set completeness is not yet verified.</w:t>
      </w:r>
    </w:p>
    <w:p>
      <w:pPr>
        <w:pStyle w:val="Heading1"/>
      </w:pPr>
      <w:r>
        <w:t>Release recommendation</w:t>
      </w:r>
    </w:p>
    <w:p>
      <w:pPr>
        <w:pStyle w:val="Callout"/>
        <w:shd w:fill="F4F6F9"/>
        <w:ind w:left="160" w:right="160"/>
      </w:pPr>
      <w:r>
        <w:rPr>
          <w:rFonts w:ascii="Calibri" w:hAnsi="Calibri"/>
          <w:b/>
          <w:color w:val="1F5E46"/>
          <w:sz w:val="21"/>
        </w:rPr>
        <w:t xml:space="preserve">Recommendation: </w:t>
      </w:r>
      <w:r>
        <w:rPr>
          <w:rFonts w:ascii="Calibri" w:hAnsi="Calibri"/>
          <w:color w:val="0B2545"/>
          <w:sz w:val="21"/>
        </w:rPr>
        <w:t>Proceed with DevDO UAT after the story-specific outbound change set is completed with the metadata type and record. Do not upload or deploy to Production until UAT evidence, component completeness, and target-org validation are recorded.</w:t>
      </w:r>
    </w:p>
    <w:p>
      <w:pPr>
        <w:pStyle w:val="Heading2"/>
      </w:pPr>
      <w:r>
        <w:t>Evidence basis</w:t>
      </w:r>
    </w:p>
    <w:p>
      <w:pPr>
        <w:numPr>
          <w:ilvl w:val="0"/>
          <w:numId w:val="42"/>
        </w:numPr>
        <w:spacing w:after="160" w:line="280" w:lineRule="auto"/>
      </w:pPr>
      <w:r>
        <w:t>Verified DevDO deployment report: 0AfiK0000000X8rSAE (Succeeded, 16/16 components, 13/13 tests).</w:t>
      </w:r>
    </w:p>
    <w:p>
      <w:pPr>
        <w:numPr>
          <w:ilvl w:val="0"/>
          <w:numId w:val="42"/>
        </w:numPr>
        <w:spacing w:after="160" w:line="280" w:lineRule="auto"/>
      </w:pPr>
      <w:r>
        <w:t>Production and DevDO scoped source snapshots under scratch/next-four-analysis.</w:t>
      </w:r>
    </w:p>
    <w:p>
      <w:pPr>
        <w:numPr>
          <w:ilvl w:val="0"/>
          <w:numId w:val="42"/>
        </w:numPr>
        <w:spacing w:after="160" w:line="280" w:lineRule="auto"/>
      </w:pPr>
      <w:r>
        <w:t>Production case snapshot under outputs/probo_case_story_dry_run_2026-08-31.</w:t>
      </w:r>
    </w:p>
    <w:p>
      <w:pPr>
        <w:numPr>
          <w:ilvl w:val="0"/>
          <w:numId w:val="42"/>
        </w:numPr>
        <w:spacing w:after="160" w:line="280" w:lineRule="auto"/>
      </w:pPr>
      <w:r>
        <w:t>Outbound Change Set browser review performed before document preparation; no change set was uploaded.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085"/>
        <w:sz w:val="17"/>
      </w:rPr>
      <w:t xml:space="preserve">Internal - DevDO review  |  </w:t>
    </w:r>
    <w:r>
      <w:rPr>
        <w:rFonts w:ascii="Calibri" w:hAnsi="Calibri"/>
        <w:color w:val="667085"/>
        <w:sz w:val="17"/>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PROBO MEDICAL  |  SALESFORCE ARCHITECT REVIEW  |  CASE 00009589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40" w:lineRule="auto"/>
    </w:pPr>
    <w:rPr>
      <w:rFonts w:ascii="Calibri" w:hAnsi="Calibri"/>
      <w:b w:val="0"/>
      <w:color w:val="667085"/>
      <w:sz w:val="18"/>
    </w:rPr>
  </w:style>
  <w:style w:type="paragraph" w:customStyle="1" w:styleId="Callout">
    <w:name w:val="Callout"/>
    <w:pPr>
      <w:spacing w:before="80" w:after="160" w:line="264" w:lineRule="auto"/>
    </w:pPr>
    <w:rPr>
      <w:rFonts w:ascii="Calibri" w:hAnsi="Calibri"/>
      <w:b w:val="0"/>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00009589 Architect Review</dc:title>
  <dc:subject>Service Appointment removed from Gantt when SRI is completed</dc:subject>
  <dc:creator>Probo Medical Salesforce Architecture</dc:creator>
  <cp:keywords>Salesforce, DevDO, architect review, outbound change set</cp:keywords>
  <dc:description>generated by python-docx</dc:description>
  <cp:lastModifiedBy/>
  <cp:revision>1</cp:revision>
  <dcterms:created xsi:type="dcterms:W3CDTF">2013-12-23T23:15:00Z</dcterms:created>
  <dcterms:modified xsi:type="dcterms:W3CDTF">2013-12-23T23:15:00Z</dcterms:modified>
  <cp:category/>
</cp:coreProperties>
</file>