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b/>
          <w:color w:val="2E74B5"/>
          <w:sz w:val="20"/>
        </w:rPr>
        <w:t>ARCHITECT REVIEW</w:t>
      </w:r>
    </w:p>
    <w:p>
      <w:pPr>
        <w:spacing w:before="0" w:after="80"/>
      </w:pPr>
      <w:r>
        <w:rPr>
          <w:rFonts w:ascii="Calibri" w:hAnsi="Calibri"/>
          <w:b/>
          <w:color w:val="0B2545"/>
          <w:sz w:val="48"/>
        </w:rPr>
        <w:t>Case 00009998</w:t>
      </w:r>
    </w:p>
    <w:p>
      <w:pPr>
        <w:spacing w:before="0" w:after="280"/>
      </w:pPr>
      <w:r>
        <w:rPr>
          <w:rFonts w:ascii="Calibri" w:hAnsi="Calibri"/>
          <w:b w:val="0"/>
          <w:color w:val="667085"/>
          <w:sz w:val="28"/>
        </w:rPr>
        <w:t>RMA edits remove key asset attributes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tcMar>
              <w:top w:w="80" w:type="dxa"/>
              <w:start w:w="120" w:type="dxa"/>
              <w:bottom w:w="80" w:type="dxa"/>
              <w:end w:w="120" w:type="dxa"/>
            </w:tcMar>
            <w:vAlign w:val="center"/>
          </w:tcPr>
          <w:p>
            <w:r>
              <w:rPr>
                <w:rFonts w:ascii="Calibri" w:hAnsi="Calibri"/>
                <w:b/>
                <w:color w:val="0B2545"/>
                <w:sz w:val="18"/>
              </w:rPr>
              <w:t>Review field</w:t>
            </w:r>
          </w:p>
        </w:tc>
        <w:tc>
          <w:tcPr>
            <w:tcW w:type="dxa" w:w="6660"/>
            <w:shd w:fill="F2F4F7"/>
            <w:tcMar>
              <w:top w:w="80" w:type="dxa"/>
              <w:start w:w="120" w:type="dxa"/>
              <w:bottom w:w="80" w:type="dxa"/>
              <w:end w:w="120" w:type="dxa"/>
            </w:tcMar>
            <w:vAlign w:val="center"/>
          </w:tcPr>
          <w:p>
            <w:r>
              <w:rPr>
                <w:rFonts w:ascii="Calibri" w:hAnsi="Calibri"/>
                <w:b/>
                <w:color w:val="0B2545"/>
                <w:sz w:val="18"/>
              </w:rPr>
              <w:t>Value</w:t>
            </w:r>
          </w:p>
        </w:tc>
      </w:tr>
      <w:tr>
        <w:tc>
          <w:tcPr>
            <w:tcW w:type="dxa" w:w="2700"/>
            <w:shd w:fill="F2F4F7"/>
            <w:tcMar>
              <w:top w:w="80" w:type="dxa"/>
              <w:start w:w="120" w:type="dxa"/>
              <w:bottom w:w="80" w:type="dxa"/>
              <w:end w:w="120" w:type="dxa"/>
            </w:tcMar>
            <w:vAlign w:val="center"/>
          </w:tcPr>
          <w:p>
            <w:r>
              <w:rPr>
                <w:rFonts w:ascii="Calibri" w:hAnsi="Calibri"/>
                <w:b/>
                <w:color w:val="0B2545"/>
                <w:sz w:val="19"/>
              </w:rPr>
              <w:t>Environment</w:t>
            </w:r>
          </w:p>
        </w:tc>
        <w:tc>
          <w:tcPr>
            <w:tcW w:type="dxa" w:w="6660"/>
            <w:tcMar>
              <w:top w:w="80" w:type="dxa"/>
              <w:start w:w="120" w:type="dxa"/>
              <w:bottom w:w="80" w:type="dxa"/>
              <w:end w:w="120" w:type="dxa"/>
            </w:tcMar>
            <w:vAlign w:val="center"/>
          </w:tcPr>
          <w:p>
            <w:r>
              <w:rPr>
                <w:rFonts w:ascii="Calibri" w:hAnsi="Calibri"/>
                <w:color w:val="000000"/>
                <w:sz w:val="19"/>
              </w:rPr>
              <w:t>Probo Medical DevDO sandbox</w:t>
            </w:r>
          </w:p>
        </w:tc>
      </w:tr>
      <w:tr>
        <w:tc>
          <w:tcPr>
            <w:tcW w:type="dxa" w:w="2700"/>
            <w:shd w:fill="F2F4F7"/>
            <w:tcMar>
              <w:top w:w="80" w:type="dxa"/>
              <w:start w:w="120" w:type="dxa"/>
              <w:bottom w:w="80" w:type="dxa"/>
              <w:end w:w="120" w:type="dxa"/>
            </w:tcMar>
            <w:vAlign w:val="center"/>
          </w:tcPr>
          <w:p>
            <w:r>
              <w:rPr>
                <w:rFonts w:ascii="Calibri" w:hAnsi="Calibri"/>
                <w:b/>
                <w:color w:val="0B2545"/>
                <w:sz w:val="19"/>
              </w:rPr>
              <w:t>Case</w:t>
            </w:r>
          </w:p>
        </w:tc>
        <w:tc>
          <w:tcPr>
            <w:tcW w:type="dxa" w:w="6660"/>
            <w:tcMar>
              <w:top w:w="80" w:type="dxa"/>
              <w:start w:w="120" w:type="dxa"/>
              <w:bottom w:w="80" w:type="dxa"/>
              <w:end w:w="120" w:type="dxa"/>
            </w:tcMar>
            <w:vAlign w:val="center"/>
          </w:tcPr>
          <w:p>
            <w:r>
              <w:rPr>
                <w:rFonts w:ascii="Calibri" w:hAnsi="Calibri"/>
                <w:color w:val="000000"/>
                <w:sz w:val="19"/>
              </w:rPr>
              <w:t>00009998 | Claimed | Medium</w:t>
            </w:r>
          </w:p>
        </w:tc>
      </w:tr>
      <w:tr>
        <w:tc>
          <w:tcPr>
            <w:tcW w:type="dxa" w:w="2700"/>
            <w:shd w:fill="F2F4F7"/>
            <w:tcMar>
              <w:top w:w="80" w:type="dxa"/>
              <w:start w:w="120" w:type="dxa"/>
              <w:bottom w:w="80" w:type="dxa"/>
              <w:end w:w="120" w:type="dxa"/>
            </w:tcMar>
            <w:vAlign w:val="center"/>
          </w:tcPr>
          <w:p>
            <w:r>
              <w:rPr>
                <w:rFonts w:ascii="Calibri" w:hAnsi="Calibri"/>
                <w:b/>
                <w:color w:val="0B2545"/>
                <w:sz w:val="19"/>
              </w:rPr>
              <w:t>Owner</w:t>
            </w:r>
          </w:p>
        </w:tc>
        <w:tc>
          <w:tcPr>
            <w:tcW w:type="dxa" w:w="6660"/>
            <w:tcMar>
              <w:top w:w="80" w:type="dxa"/>
              <w:start w:w="120" w:type="dxa"/>
              <w:bottom w:w="80" w:type="dxa"/>
              <w:end w:w="120" w:type="dxa"/>
            </w:tcMar>
            <w:vAlign w:val="center"/>
          </w:tcPr>
          <w:p>
            <w:r>
              <w:rPr>
                <w:rFonts w:ascii="Calibri" w:hAnsi="Calibri"/>
                <w:color w:val="000000"/>
                <w:sz w:val="19"/>
              </w:rPr>
              <w:t>Blake Nielsen</w:t>
            </w:r>
          </w:p>
        </w:tc>
      </w:tr>
      <w:tr>
        <w:tc>
          <w:tcPr>
            <w:tcW w:type="dxa" w:w="2700"/>
            <w:shd w:fill="F2F4F7"/>
            <w:tcMar>
              <w:top w:w="80" w:type="dxa"/>
              <w:start w:w="120" w:type="dxa"/>
              <w:bottom w:w="80" w:type="dxa"/>
              <w:end w:w="120" w:type="dxa"/>
            </w:tcMar>
            <w:vAlign w:val="center"/>
          </w:tcPr>
          <w:p>
            <w:r>
              <w:rPr>
                <w:rFonts w:ascii="Calibri" w:hAnsi="Calibri"/>
                <w:b/>
                <w:color w:val="0B2545"/>
                <w:sz w:val="19"/>
              </w:rPr>
              <w:t>Classification</w:t>
            </w:r>
          </w:p>
        </w:tc>
        <w:tc>
          <w:tcPr>
            <w:tcW w:type="dxa" w:w="6660"/>
            <w:tcMar>
              <w:top w:w="80" w:type="dxa"/>
              <w:start w:w="120" w:type="dxa"/>
              <w:bottom w:w="80" w:type="dxa"/>
              <w:end w:w="120" w:type="dxa"/>
            </w:tcMar>
            <w:vAlign w:val="center"/>
          </w:tcPr>
          <w:p>
            <w:r>
              <w:rPr>
                <w:rFonts w:ascii="Calibri" w:hAnsi="Calibri"/>
                <w:color w:val="000000"/>
                <w:sz w:val="19"/>
              </w:rPr>
              <w:t>Bug - RMA</w:t>
            </w:r>
          </w:p>
        </w:tc>
      </w:tr>
      <w:tr>
        <w:tc>
          <w:tcPr>
            <w:tcW w:type="dxa" w:w="2700"/>
            <w:shd w:fill="F2F4F7"/>
            <w:tcMar>
              <w:top w:w="80" w:type="dxa"/>
              <w:start w:w="120" w:type="dxa"/>
              <w:bottom w:w="80" w:type="dxa"/>
              <w:end w:w="120" w:type="dxa"/>
            </w:tcMar>
            <w:vAlign w:val="center"/>
          </w:tcPr>
          <w:p>
            <w:r>
              <w:rPr>
                <w:rFonts w:ascii="Calibri" w:hAnsi="Calibri"/>
                <w:b/>
                <w:color w:val="0B2545"/>
                <w:sz w:val="19"/>
              </w:rPr>
              <w:t>Evidence date</w:t>
            </w:r>
          </w:p>
        </w:tc>
        <w:tc>
          <w:tcPr>
            <w:tcW w:type="dxa" w:w="6660"/>
            <w:tcMar>
              <w:top w:w="80" w:type="dxa"/>
              <w:start w:w="120" w:type="dxa"/>
              <w:bottom w:w="80" w:type="dxa"/>
              <w:end w:w="120" w:type="dxa"/>
            </w:tcMar>
            <w:vAlign w:val="center"/>
          </w:tcPr>
          <w:p>
            <w:r>
              <w:rPr>
                <w:rFonts w:ascii="Calibri" w:hAnsi="Calibri"/>
                <w:color w:val="000000"/>
                <w:sz w:val="19"/>
              </w:rPr>
              <w:t>September 1, 2026</w:t>
            </w:r>
          </w:p>
        </w:tc>
      </w:tr>
    </w:tbl>
    <w:p>
      <w:pPr>
        <w:pStyle w:val="Heading1"/>
      </w:pPr>
      <w:r>
        <w:t>Executive decision</w:t>
      </w:r>
    </w:p>
    <w:p>
      <w:pPr>
        <w:pStyle w:val="Callout"/>
        <w:shd w:fill="F4F6F9"/>
        <w:ind w:left="160" w:right="160"/>
      </w:pPr>
      <w:r>
        <w:rPr>
          <w:rFonts w:ascii="Calibri" w:hAnsi="Calibri"/>
          <w:b/>
          <w:color w:val="1F5E46"/>
          <w:sz w:val="21"/>
        </w:rPr>
        <w:t xml:space="preserve">APPROVE FOR DEVDO UAT: </w:t>
      </w:r>
      <w:r>
        <w:rPr>
          <w:rFonts w:ascii="Calibri" w:hAnsi="Calibri"/>
          <w:color w:val="0B2545"/>
          <w:sz w:val="21"/>
        </w:rPr>
        <w:t>The data-loss defect is addressed in DevDO. Production release remains conditional on business UAT, target-org validation, and confirmation that the retained reset behavior is still correct for the other check-in fields.</w:t>
      </w:r>
    </w:p>
    <w:p>
      <w:pPr>
        <w:pStyle w:val="Heading1"/>
      </w:pPr>
      <w:r>
        <w:t>Story and operational impact</w:t>
      </w:r>
    </w:p>
    <w:p>
      <w:r>
        <w:t>Editing or receiving an RMA could remove Product Item values that are operationally important for asset qualification. The reported impact covers Quality Issue Details, Root Cause, and Corrective Action updates that caused key asset attributes to disappear.</w:t>
      </w:r>
    </w:p>
    <w:p>
      <w:pPr>
        <w:pStyle w:val="Heading1"/>
      </w:pPr>
      <w:r>
        <w:t>Steps to reproduce</w:t>
      </w:r>
    </w:p>
    <w:p>
      <w:pPr>
        <w:numPr>
          <w:ilvl w:val="0"/>
          <w:numId w:val="44"/>
        </w:numPr>
        <w:spacing w:after="160" w:line="280" w:lineRule="auto"/>
      </w:pPr>
      <w:r>
        <w:t>Open an RMA linked to a Product Item that already has Cosmetic Rating, Functional Rating, and Review Status populated.</w:t>
      </w:r>
    </w:p>
    <w:p>
      <w:pPr>
        <w:numPr>
          <w:ilvl w:val="0"/>
          <w:numId w:val="44"/>
        </w:numPr>
        <w:spacing w:after="160" w:line="280" w:lineRule="auto"/>
      </w:pPr>
      <w:r>
        <w:t>Record the three existing Product Item values so the before-and-after result can be compared.</w:t>
      </w:r>
    </w:p>
    <w:p>
      <w:pPr>
        <w:numPr>
          <w:ilvl w:val="0"/>
          <w:numId w:val="44"/>
        </w:numPr>
        <w:spacing w:after="160" w:line="280" w:lineRule="auto"/>
      </w:pPr>
      <w:r>
        <w:t>Edit the RMA and update Quality Issue Details, Root Cause, or Corrective Action.</w:t>
      </w:r>
    </w:p>
    <w:p>
      <w:pPr>
        <w:numPr>
          <w:ilvl w:val="0"/>
          <w:numId w:val="44"/>
        </w:numPr>
        <w:spacing w:after="160" w:line="280" w:lineRule="auto"/>
      </w:pPr>
      <w:r>
        <w:t>Save the RMA and allow the RMA trigger processing to complete.</w:t>
      </w:r>
    </w:p>
    <w:p>
      <w:pPr>
        <w:numPr>
          <w:ilvl w:val="0"/>
          <w:numId w:val="44"/>
        </w:numPr>
        <w:spacing w:after="160" w:line="280" w:lineRule="auto"/>
      </w:pPr>
      <w:r>
        <w:t>Open or refresh the related Product Item and inspect Cosmetic Rating, Functional Rating, and Review Status.</w:t>
      </w:r>
    </w:p>
    <w:p>
      <w:pPr>
        <w:pStyle w:val="Callout"/>
        <w:shd w:fill="F4F6F9"/>
        <w:ind w:left="160" w:right="160"/>
      </w:pPr>
      <w:r>
        <w:rPr>
          <w:rFonts w:ascii="Calibri" w:hAnsi="Calibri"/>
          <w:b/>
          <w:color w:val="1F5E46"/>
          <w:sz w:val="21"/>
        </w:rPr>
        <w:t xml:space="preserve">Expected result: </w:t>
      </w:r>
      <w:r>
        <w:rPr>
          <w:rFonts w:ascii="Calibri" w:hAnsi="Calibri"/>
          <w:color w:val="0B2545"/>
          <w:sz w:val="21"/>
        </w:rPr>
        <w:t>The RMA saves and the three pre-existing Product Item qualification attributes remain unchanged.</w:t>
      </w:r>
    </w:p>
    <w:p>
      <w:pPr>
        <w:pStyle w:val="Callout"/>
        <w:shd w:fill="F4F6F9"/>
        <w:ind w:left="160" w:right="160"/>
      </w:pPr>
      <w:r>
        <w:rPr>
          <w:rFonts w:ascii="Calibri" w:hAnsi="Calibri"/>
          <w:b/>
          <w:color w:val="9B1C1C"/>
          <w:sz w:val="21"/>
        </w:rPr>
        <w:t xml:space="preserve">Pre-fix actual result: </w:t>
      </w:r>
      <w:r>
        <w:rPr>
          <w:rFonts w:ascii="Calibri" w:hAnsi="Calibri"/>
          <w:color w:val="0B2545"/>
          <w:sz w:val="21"/>
        </w:rPr>
        <w:t>Before the fix, the trigger cleared Cosmetic Rating, Functional Rating, and Review Status to blank values.</w:t>
      </w:r>
    </w:p>
    <w:p>
      <w:pPr>
        <w:pStyle w:val="Heading1"/>
      </w:pPr>
      <w:r>
        <w:t>Root cause</w:t>
      </w:r>
    </w:p>
    <w:p>
      <w:r>
        <w:t>The legacy P_RMATriggerHandler explicitly assigned blank strings to Cosmetic_Rating__c, Functional_Rating__c, and Review_Status__c while processing the Product Item reset block. Those destructive assignments were unconditional within that branch, so a valid RMA edit could erase pre-existing asset qualification data.</w:t>
      </w:r>
    </w:p>
    <w:p>
      <w:pPr>
        <w:pStyle w:val="Heading1"/>
      </w:pPr>
      <w:r>
        <w:t>Implemented design</w:t>
      </w:r>
    </w:p>
    <w:p>
      <w:pPr>
        <w:numPr>
          <w:ilvl w:val="0"/>
          <w:numId w:val="42"/>
        </w:numPr>
        <w:spacing w:after="160" w:line="280" w:lineRule="auto"/>
      </w:pPr>
      <w:r>
        <w:t>Removed the hard-coded blank assignments for Cosmetic_Rating__c, Functional_Rating__c, and Review_Status__c.</w:t>
      </w:r>
    </w:p>
    <w:p>
      <w:pPr>
        <w:numPr>
          <w:ilvl w:val="0"/>
          <w:numId w:val="42"/>
        </w:numPr>
        <w:spacing w:after="160" w:line="280" w:lineRule="auto"/>
      </w:pPr>
      <w:r>
        <w:t>Preserved the existing reset behavior for repair-evaluation, repairability, and note fields so the change remains narrowly scoped.</w:t>
      </w:r>
    </w:p>
    <w:p>
      <w:pPr>
        <w:numPr>
          <w:ilvl w:val="0"/>
          <w:numId w:val="42"/>
        </w:numPr>
        <w:spacing w:after="160" w:line="280" w:lineRule="auto"/>
      </w:pPr>
      <w:r>
        <w:t>Retained the existing location update behavior, including the Equipment Storage exception.</w:t>
      </w:r>
    </w:p>
    <w:p>
      <w:pPr>
        <w:numPr>
          <w:ilvl w:val="0"/>
          <w:numId w:val="42"/>
        </w:numPr>
        <w:spacing w:after="160" w:line="280" w:lineRule="auto"/>
      </w:pPr>
      <w:r>
        <w:t>Added regression assertions proving that the three protected attributes survive the RMA receipt/edit path.</w:t>
      </w:r>
    </w:p>
    <w:p>
      <w:pPr>
        <w:pStyle w:val="Heading1"/>
      </w:pPr>
      <w:r>
        <w:t>Hard-coded value assessment</w:t>
      </w:r>
    </w:p>
    <w:p>
      <w:pPr>
        <w:pStyle w:val="Callout"/>
        <w:shd w:fill="F4F6F9"/>
        <w:ind w:left="160" w:right="160"/>
      </w:pPr>
      <w:r>
        <w:rPr>
          <w:rFonts w:ascii="Calibri" w:hAnsi="Calibri"/>
          <w:b/>
          <w:color w:val="1F4D78"/>
          <w:sz w:val="21"/>
        </w:rPr>
        <w:t xml:space="preserve">Assessment: </w:t>
      </w:r>
      <w:r>
        <w:rPr>
          <w:rFonts w:ascii="Calibri" w:hAnsi="Calibri"/>
          <w:color w:val="0B2545"/>
          <w:sz w:val="21"/>
        </w:rPr>
        <w:t>Resolved for the reported data-loss path. The hard-coded empty-string resets for the three protected asset attributes were removed. The remaining field resets are still explicit legacy logic and should be confirmed during UAT as intentional business behavior.</w:t>
      </w:r>
    </w:p>
    <w:p>
      <w:pPr>
        <w:pStyle w:val="Heading1"/>
      </w:pPr>
      <w:r>
        <w:t>Metadata scope</w:t>
      </w:r>
    </w:p>
    <w:p>
      <w:pPr>
        <w:pStyle w:val="TableCitation"/>
      </w:pPr>
      <w:r>
        <w:t>Story-specific deployment package</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F2F4F7"/>
            <w:tcMar>
              <w:top w:w="80" w:type="dxa"/>
              <w:start w:w="120" w:type="dxa"/>
              <w:bottom w:w="80" w:type="dxa"/>
              <w:end w:w="120" w:type="dxa"/>
            </w:tcMar>
            <w:vAlign w:val="center"/>
          </w:tcPr>
          <w:p>
            <w:r>
              <w:rPr>
                <w:rFonts w:ascii="Calibri" w:hAnsi="Calibri"/>
                <w:b/>
                <w:color w:val="0B2545"/>
                <w:sz w:val="18"/>
              </w:rPr>
              <w:t>Type</w:t>
            </w:r>
          </w:p>
        </w:tc>
        <w:tc>
          <w:tcPr>
            <w:tcW w:type="dxa" w:w="3500"/>
            <w:shd w:fill="F2F4F7"/>
            <w:tcMar>
              <w:top w:w="80" w:type="dxa"/>
              <w:start w:w="120" w:type="dxa"/>
              <w:bottom w:w="80" w:type="dxa"/>
              <w:end w:w="120" w:type="dxa"/>
            </w:tcMar>
            <w:vAlign w:val="center"/>
          </w:tcPr>
          <w:p>
            <w:r>
              <w:rPr>
                <w:rFonts w:ascii="Calibri" w:hAnsi="Calibri"/>
                <w:b/>
                <w:color w:val="0B2545"/>
                <w:sz w:val="18"/>
              </w:rPr>
              <w:t>Component</w:t>
            </w:r>
          </w:p>
        </w:tc>
        <w:tc>
          <w:tcPr>
            <w:tcW w:type="dxa" w:w="3960"/>
            <w:shd w:fill="F2F4F7"/>
            <w:tcMar>
              <w:top w:w="80" w:type="dxa"/>
              <w:start w:w="120" w:type="dxa"/>
              <w:bottom w:w="80" w:type="dxa"/>
              <w:end w:w="120" w:type="dxa"/>
            </w:tcMar>
            <w:vAlign w:val="center"/>
          </w:tcPr>
          <w:p>
            <w:r>
              <w:rPr>
                <w:rFonts w:ascii="Calibri" w:hAnsi="Calibri"/>
                <w:b/>
                <w:color w:val="0B2545"/>
                <w:sz w:val="18"/>
              </w:rPr>
              <w:t>Purpose</w:t>
            </w:r>
          </w:p>
        </w:tc>
      </w:tr>
      <w:tr>
        <w:tc>
          <w:tcPr>
            <w:tcW w:type="dxa" w:w="1900"/>
            <w:tcMar>
              <w:top w:w="80" w:type="dxa"/>
              <w:start w:w="120" w:type="dxa"/>
              <w:bottom w:w="80" w:type="dxa"/>
              <w:end w:w="120" w:type="dxa"/>
            </w:tcMar>
            <w:vAlign w:val="center"/>
          </w:tcPr>
          <w:p>
            <w:r>
              <w:rPr>
                <w:rFonts w:ascii="Calibri" w:hAnsi="Calibri"/>
                <w:color w:val="000000"/>
                <w:sz w:val="17"/>
              </w:rPr>
              <w:t>Apex Class</w:t>
            </w:r>
          </w:p>
        </w:tc>
        <w:tc>
          <w:tcPr>
            <w:tcW w:type="dxa" w:w="3500"/>
            <w:tcMar>
              <w:top w:w="80" w:type="dxa"/>
              <w:start w:w="120" w:type="dxa"/>
              <w:bottom w:w="80" w:type="dxa"/>
              <w:end w:w="120" w:type="dxa"/>
            </w:tcMar>
            <w:vAlign w:val="center"/>
          </w:tcPr>
          <w:p>
            <w:r>
              <w:rPr>
                <w:rFonts w:ascii="Calibri" w:hAnsi="Calibri"/>
                <w:color w:val="000000"/>
                <w:sz w:val="17"/>
              </w:rPr>
              <w:t>P_RMATriggerHandler</w:t>
            </w:r>
          </w:p>
        </w:tc>
        <w:tc>
          <w:tcPr>
            <w:tcW w:type="dxa" w:w="3960"/>
            <w:tcMar>
              <w:top w:w="80" w:type="dxa"/>
              <w:start w:w="120" w:type="dxa"/>
              <w:bottom w:w="80" w:type="dxa"/>
              <w:end w:w="120" w:type="dxa"/>
            </w:tcMar>
            <w:vAlign w:val="center"/>
          </w:tcPr>
          <w:p>
            <w:r>
              <w:rPr>
                <w:rFonts w:ascii="Calibri" w:hAnsi="Calibri"/>
                <w:color w:val="000000"/>
                <w:sz w:val="17"/>
              </w:rPr>
              <w:t>Removes destructive attribute resets</w:t>
            </w:r>
          </w:p>
        </w:tc>
      </w:tr>
      <w:tr>
        <w:tc>
          <w:tcPr>
            <w:tcW w:type="dxa" w:w="1900"/>
            <w:tcMar>
              <w:top w:w="80" w:type="dxa"/>
              <w:start w:w="120" w:type="dxa"/>
              <w:bottom w:w="80" w:type="dxa"/>
              <w:end w:w="120" w:type="dxa"/>
            </w:tcMar>
            <w:vAlign w:val="center"/>
          </w:tcPr>
          <w:p>
            <w:r>
              <w:rPr>
                <w:rFonts w:ascii="Calibri" w:hAnsi="Calibri"/>
                <w:color w:val="000000"/>
                <w:sz w:val="17"/>
              </w:rPr>
              <w:t>Apex Test</w:t>
            </w:r>
          </w:p>
        </w:tc>
        <w:tc>
          <w:tcPr>
            <w:tcW w:type="dxa" w:w="3500"/>
            <w:tcMar>
              <w:top w:w="80" w:type="dxa"/>
              <w:start w:w="120" w:type="dxa"/>
              <w:bottom w:w="80" w:type="dxa"/>
              <w:end w:w="120" w:type="dxa"/>
            </w:tcMar>
            <w:vAlign w:val="center"/>
          </w:tcPr>
          <w:p>
            <w:r>
              <w:rPr>
                <w:rFonts w:ascii="Calibri" w:hAnsi="Calibri"/>
                <w:color w:val="000000"/>
                <w:sz w:val="17"/>
              </w:rPr>
              <w:t>P_RMATriggerHandlerTest</w:t>
            </w:r>
          </w:p>
        </w:tc>
        <w:tc>
          <w:tcPr>
            <w:tcW w:type="dxa" w:w="3960"/>
            <w:tcMar>
              <w:top w:w="80" w:type="dxa"/>
              <w:start w:w="120" w:type="dxa"/>
              <w:bottom w:w="80" w:type="dxa"/>
              <w:end w:w="120" w:type="dxa"/>
            </w:tcMar>
            <w:vAlign w:val="center"/>
          </w:tcPr>
          <w:p>
            <w:r>
              <w:rPr>
                <w:rFonts w:ascii="Calibri" w:hAnsi="Calibri"/>
                <w:color w:val="000000"/>
                <w:sz w:val="17"/>
              </w:rPr>
              <w:t>Adds preservation assertions</w:t>
            </w:r>
          </w:p>
        </w:tc>
      </w:tr>
      <w:tr>
        <w:tc>
          <w:tcPr>
            <w:tcW w:type="dxa" w:w="1900"/>
            <w:tcMar>
              <w:top w:w="80" w:type="dxa"/>
              <w:start w:w="120" w:type="dxa"/>
              <w:bottom w:w="80" w:type="dxa"/>
              <w:end w:w="120" w:type="dxa"/>
            </w:tcMar>
            <w:vAlign w:val="center"/>
          </w:tcPr>
          <w:p>
            <w:r>
              <w:rPr>
                <w:rFonts w:ascii="Calibri" w:hAnsi="Calibri"/>
                <w:color w:val="000000"/>
                <w:sz w:val="17"/>
              </w:rPr>
              <w:t>Apex Test</w:t>
            </w:r>
          </w:p>
        </w:tc>
        <w:tc>
          <w:tcPr>
            <w:tcW w:type="dxa" w:w="3500"/>
            <w:tcMar>
              <w:top w:w="80" w:type="dxa"/>
              <w:start w:w="120" w:type="dxa"/>
              <w:bottom w:w="80" w:type="dxa"/>
              <w:end w:w="120" w:type="dxa"/>
            </w:tcMar>
            <w:vAlign w:val="center"/>
          </w:tcPr>
          <w:p>
            <w:r>
              <w:rPr>
                <w:rFonts w:ascii="Calibri" w:hAnsi="Calibri"/>
                <w:color w:val="000000"/>
                <w:sz w:val="17"/>
              </w:rPr>
              <w:t>P_RMATriggerHandlerTest2</w:t>
            </w:r>
          </w:p>
        </w:tc>
        <w:tc>
          <w:tcPr>
            <w:tcW w:type="dxa" w:w="3960"/>
            <w:tcMar>
              <w:top w:w="80" w:type="dxa"/>
              <w:start w:w="120" w:type="dxa"/>
              <w:bottom w:w="80" w:type="dxa"/>
              <w:end w:w="120" w:type="dxa"/>
            </w:tcMar>
            <w:vAlign w:val="center"/>
          </w:tcPr>
          <w:p>
            <w:r>
              <w:rPr>
                <w:rFonts w:ascii="Calibri" w:hAnsi="Calibri"/>
                <w:color w:val="000000"/>
                <w:sz w:val="17"/>
              </w:rPr>
              <w:t>Included with shared RMA regression scope</w:t>
            </w:r>
          </w:p>
        </w:tc>
      </w:tr>
    </w:tbl>
    <w:p>
      <w:pPr>
        <w:pStyle w:val="Heading1"/>
      </w:pPr>
      <w:r>
        <w:t>Verified DevDO evidence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80" w:type="dxa"/>
              <w:start w:w="120" w:type="dxa"/>
              <w:bottom w:w="80" w:type="dxa"/>
              <w:end w:w="120" w:type="dxa"/>
            </w:tcMar>
            <w:vAlign w:val="center"/>
          </w:tcPr>
          <w:p>
            <w:r>
              <w:rPr>
                <w:rFonts w:ascii="Calibri" w:hAnsi="Calibri"/>
                <w:b/>
                <w:color w:val="0B2545"/>
                <w:sz w:val="18"/>
              </w:rPr>
              <w:t>Evidence</w:t>
            </w:r>
          </w:p>
        </w:tc>
        <w:tc>
          <w:tcPr>
            <w:tcW w:type="dxa" w:w="7260"/>
            <w:shd w:fill="F2F4F7"/>
            <w:tcMar>
              <w:top w:w="80" w:type="dxa"/>
              <w:start w:w="120" w:type="dxa"/>
              <w:bottom w:w="80" w:type="dxa"/>
              <w:end w:w="120" w:type="dxa"/>
            </w:tcMar>
            <w:vAlign w:val="center"/>
          </w:tcPr>
          <w:p>
            <w:r>
              <w:rPr>
                <w:rFonts w:ascii="Calibri" w:hAnsi="Calibri"/>
                <w:b/>
                <w:color w:val="0B2545"/>
                <w:sz w:val="18"/>
              </w:rPr>
              <w:t>Verified result</w:t>
            </w:r>
          </w:p>
        </w:tc>
      </w:tr>
      <w:tr>
        <w:tc>
          <w:tcPr>
            <w:tcW w:type="dxa" w:w="2100"/>
            <w:shd w:fill="F2F4F7"/>
            <w:tcMar>
              <w:top w:w="80" w:type="dxa"/>
              <w:start w:w="120" w:type="dxa"/>
              <w:bottom w:w="80" w:type="dxa"/>
              <w:end w:w="120" w:type="dxa"/>
            </w:tcMar>
            <w:vAlign w:val="center"/>
          </w:tcPr>
          <w:p>
            <w:r>
              <w:rPr>
                <w:rFonts w:ascii="Calibri" w:hAnsi="Calibri"/>
                <w:b/>
                <w:color w:val="0B2545"/>
                <w:sz w:val="18"/>
              </w:rPr>
              <w:t>Deployment</w:t>
            </w:r>
          </w:p>
        </w:tc>
        <w:tc>
          <w:tcPr>
            <w:tcW w:type="dxa" w:w="7260"/>
            <w:tcMar>
              <w:top w:w="80" w:type="dxa"/>
              <w:start w:w="120" w:type="dxa"/>
              <w:bottom w:w="80" w:type="dxa"/>
              <w:end w:w="120" w:type="dxa"/>
            </w:tcMar>
            <w:vAlign w:val="center"/>
          </w:tcPr>
          <w:p>
            <w:r>
              <w:rPr>
                <w:rFonts w:ascii="Calibri" w:hAnsi="Calibri"/>
                <w:color w:val="000000"/>
                <w:sz w:val="18"/>
              </w:rPr>
              <w:t>0AfiK0000000X8rSAE - Succeeded; 16/16 components; zero component errors</w:t>
            </w:r>
          </w:p>
        </w:tc>
      </w:tr>
      <w:tr>
        <w:tc>
          <w:tcPr>
            <w:tcW w:type="dxa" w:w="2100"/>
            <w:shd w:fill="F2F4F7"/>
            <w:tcMar>
              <w:top w:w="80" w:type="dxa"/>
              <w:start w:w="120" w:type="dxa"/>
              <w:bottom w:w="80" w:type="dxa"/>
              <w:end w:w="120" w:type="dxa"/>
            </w:tcMar>
            <w:vAlign w:val="center"/>
          </w:tcPr>
          <w:p>
            <w:r>
              <w:rPr>
                <w:rFonts w:ascii="Calibri" w:hAnsi="Calibri"/>
                <w:b/>
                <w:color w:val="0B2545"/>
                <w:sz w:val="18"/>
              </w:rPr>
              <w:t>Tests</w:t>
            </w:r>
          </w:p>
        </w:tc>
        <w:tc>
          <w:tcPr>
            <w:tcW w:type="dxa" w:w="7260"/>
            <w:tcMar>
              <w:top w:w="80" w:type="dxa"/>
              <w:start w:w="120" w:type="dxa"/>
              <w:bottom w:w="80" w:type="dxa"/>
              <w:end w:w="120" w:type="dxa"/>
            </w:tcMar>
            <w:vAlign w:val="center"/>
          </w:tcPr>
          <w:p>
            <w:r>
              <w:rPr>
                <w:rFonts w:ascii="Calibri" w:hAnsi="Calibri"/>
                <w:color w:val="000000"/>
                <w:sz w:val="18"/>
              </w:rPr>
              <w:t>13/13 completed; zero failures; zero test errors</w:t>
            </w:r>
          </w:p>
        </w:tc>
      </w:tr>
      <w:tr>
        <w:tc>
          <w:tcPr>
            <w:tcW w:type="dxa" w:w="2100"/>
            <w:shd w:fill="F2F4F7"/>
            <w:tcMar>
              <w:top w:w="80" w:type="dxa"/>
              <w:start w:w="120" w:type="dxa"/>
              <w:bottom w:w="80" w:type="dxa"/>
              <w:end w:w="120" w:type="dxa"/>
            </w:tcMar>
            <w:vAlign w:val="center"/>
          </w:tcPr>
          <w:p>
            <w:r>
              <w:rPr>
                <w:rFonts w:ascii="Calibri" w:hAnsi="Calibri"/>
                <w:b/>
                <w:color w:val="0B2545"/>
                <w:sz w:val="18"/>
              </w:rPr>
              <w:t>Story regression</w:t>
            </w:r>
          </w:p>
        </w:tc>
        <w:tc>
          <w:tcPr>
            <w:tcW w:type="dxa" w:w="7260"/>
            <w:tcMar>
              <w:top w:w="80" w:type="dxa"/>
              <w:start w:w="120" w:type="dxa"/>
              <w:bottom w:w="80" w:type="dxa"/>
              <w:end w:w="120" w:type="dxa"/>
            </w:tcMar>
            <w:vAlign w:val="center"/>
          </w:tcPr>
          <w:p>
            <w:r>
              <w:rPr>
                <w:rFonts w:ascii="Calibri" w:hAnsi="Calibri"/>
                <w:color w:val="000000"/>
                <w:sz w:val="18"/>
              </w:rPr>
              <w:t>P_RMATriggerHandlerTest.testDateItemReceived_TriggersProductItemResetBlock - Passed</w:t>
            </w:r>
          </w:p>
        </w:tc>
      </w:tr>
    </w:tbl>
    <w:p>
      <w:r>
        <w:t>Passed in deployment 0AfiK0000000X8rSAE; shared run completed 13/13 tests with zero failures.</w:t>
      </w:r>
    </w:p>
    <w:p>
      <w:pPr>
        <w:pStyle w:val="Heading1"/>
      </w:pPr>
      <w:r>
        <w:t>Outbound change-set status</w:t>
      </w:r>
    </w:p>
    <w:p>
      <w:r>
        <w:t>Draft change set 'Story 00009998 RMA Asset Attributes' exists in DevDO with the handler and both RMA test classes. It is Open and has not been uploaded.</w:t>
      </w:r>
    </w:p>
    <w:p>
      <w:pPr>
        <w:pStyle w:val="Heading1"/>
      </w:pPr>
      <w:r>
        <w:t>UAT acceptance checklist</w:t>
      </w:r>
    </w:p>
    <w:p>
      <w:pPr>
        <w:numPr>
          <w:ilvl w:val="0"/>
          <w:numId w:val="43"/>
        </w:numPr>
        <w:spacing w:after="160" w:line="280" w:lineRule="auto"/>
      </w:pPr>
      <w:r>
        <w:t>Open an RMA whose Product Item already has Cosmetic Rating, Functional Rating, and Review Status populated.</w:t>
      </w:r>
    </w:p>
    <w:p>
      <w:pPr>
        <w:numPr>
          <w:ilvl w:val="0"/>
          <w:numId w:val="43"/>
        </w:numPr>
        <w:spacing w:after="160" w:line="280" w:lineRule="auto"/>
      </w:pPr>
      <w:r>
        <w:t>Edit Quality Issue Details, Root Cause, and Corrective Action, then save.</w:t>
      </w:r>
    </w:p>
    <w:p>
      <w:pPr>
        <w:numPr>
          <w:ilvl w:val="0"/>
          <w:numId w:val="43"/>
        </w:numPr>
        <w:spacing w:after="160" w:line="280" w:lineRule="auto"/>
      </w:pPr>
      <w:r>
        <w:t>Verify the RMA saves and all three Product Item attributes retain their original values.</w:t>
      </w:r>
    </w:p>
    <w:p>
      <w:pPr>
        <w:numPr>
          <w:ilvl w:val="0"/>
          <w:numId w:val="43"/>
        </w:numPr>
        <w:spacing w:after="160" w:line="280" w:lineRule="auto"/>
      </w:pPr>
      <w:r>
        <w:t>Verify the intended repair-evaluation and note fields still reset only when the existing business conditions are met.</w:t>
      </w:r>
    </w:p>
    <w:p>
      <w:pPr>
        <w:numPr>
          <w:ilvl w:val="0"/>
          <w:numId w:val="43"/>
        </w:numPr>
        <w:spacing w:after="160" w:line="280" w:lineRule="auto"/>
      </w:pPr>
      <w:r>
        <w:t>Repeat for Equipment Storage and a non-Equipment Storage record to confirm location behavior is unchanged.</w:t>
      </w:r>
    </w:p>
    <w:p>
      <w:pPr>
        <w:pStyle w:val="Heading1"/>
      </w:pPr>
      <w:r>
        <w:t>Risks and production gates</w:t>
      </w:r>
    </w:p>
    <w:p>
      <w:pPr>
        <w:numPr>
          <w:ilvl w:val="0"/>
          <w:numId w:val="42"/>
        </w:numPr>
        <w:spacing w:after="160" w:line="280" w:lineRule="auto"/>
      </w:pPr>
      <w:r>
        <w:t>P_RMATriggerHandler is a large shared legacy handler; regression testing must cover other RMA types and receipt paths.</w:t>
      </w:r>
    </w:p>
    <w:p>
      <w:pPr>
        <w:numPr>
          <w:ilvl w:val="0"/>
          <w:numId w:val="42"/>
        </w:numPr>
        <w:spacing w:after="160" w:line="280" w:lineRule="auto"/>
      </w:pPr>
      <w:r>
        <w:t>The story preserves three fields but leaves other explicit resets in place; business ownership should confirm those fields are intentionally cleared.</w:t>
      </w:r>
    </w:p>
    <w:p>
      <w:pPr>
        <w:numPr>
          <w:ilvl w:val="0"/>
          <w:numId w:val="42"/>
        </w:numPr>
        <w:spacing w:after="160" w:line="280" w:lineRule="auto"/>
      </w:pPr>
      <w:r>
        <w:t>Production data should be sampled before release to quantify affected records and define any separate restoration activity.</w:t>
      </w:r>
    </w:p>
    <w:p>
      <w:pPr>
        <w:pStyle w:val="Heading1"/>
      </w:pPr>
      <w:r>
        <w:t>Release recommendation</w:t>
      </w:r>
    </w:p>
    <w:p>
      <w:pPr>
        <w:pStyle w:val="Callout"/>
        <w:shd w:fill="F4F6F9"/>
        <w:ind w:left="160" w:right="160"/>
      </w:pPr>
      <w:r>
        <w:rPr>
          <w:rFonts w:ascii="Calibri" w:hAnsi="Calibri"/>
          <w:b/>
          <w:color w:val="1F5E46"/>
          <w:sz w:val="21"/>
        </w:rPr>
        <w:t xml:space="preserve">Recommendation: </w:t>
      </w:r>
      <w:r>
        <w:rPr>
          <w:rFonts w:ascii="Calibri" w:hAnsi="Calibri"/>
          <w:color w:val="0B2545"/>
          <w:sz w:val="21"/>
        </w:rPr>
        <w:t>Proceed with DevDO UAT. Do not upload or deploy to Production until business acceptance, target-org validation, story-specific component review, and an approved rollback plan are recorded.</w:t>
      </w:r>
    </w:p>
    <w:p>
      <w:pPr>
        <w:pStyle w:val="Heading2"/>
      </w:pPr>
      <w:r>
        <w:t>Evidence basis</w:t>
      </w:r>
    </w:p>
    <w:p>
      <w:pPr>
        <w:numPr>
          <w:ilvl w:val="0"/>
          <w:numId w:val="42"/>
        </w:numPr>
        <w:spacing w:after="160" w:line="280" w:lineRule="auto"/>
      </w:pPr>
      <w:r>
        <w:t>Verified DevDO deployment report: 0AfiK0000000X8rSAE (Succeeded, 16/16 components, 13/13 tests).</w:t>
      </w:r>
    </w:p>
    <w:p>
      <w:pPr>
        <w:numPr>
          <w:ilvl w:val="0"/>
          <w:numId w:val="42"/>
        </w:numPr>
        <w:spacing w:after="160" w:line="280" w:lineRule="auto"/>
      </w:pPr>
      <w:r>
        <w:t>Production and DevDO scoped source snapshots under scratch/next-four-analysis.</w:t>
      </w:r>
    </w:p>
    <w:p>
      <w:pPr>
        <w:numPr>
          <w:ilvl w:val="0"/>
          <w:numId w:val="42"/>
        </w:numPr>
        <w:spacing w:after="160" w:line="280" w:lineRule="auto"/>
      </w:pPr>
      <w:r>
        <w:t>Production case snapshot under outputs/probo_case_story_dry_run_2026-08-31.</w:t>
      </w:r>
    </w:p>
    <w:p>
      <w:pPr>
        <w:numPr>
          <w:ilvl w:val="0"/>
          <w:numId w:val="42"/>
        </w:numPr>
        <w:spacing w:after="160" w:line="280" w:lineRule="auto"/>
      </w:pPr>
      <w:r>
        <w:t>Outbound Change Set browser review performed before document preparation; no change set was uploaded.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Internal - DevDO review  |  </w:t>
    </w:r>
    <w:r>
      <w:rPr>
        <w:rFonts w:ascii="Calibri" w:hAnsi="Calibri"/>
        <w:color w:val="667085"/>
        <w:sz w:val="17"/>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PROBO MEDICAL  |  SALESFORCE ARCHITECT REVIEW  |  CASE 00009998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42">
    <w:abstractNumId w:val="42"/>
  </w:num>
  <w:abstractNum w:abstractNumId="4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3">
    <w:abstractNumId w:val="43"/>
  </w:num>
  <w:abstractNum w:abstractNumId="44">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40" w:lineRule="auto"/>
    </w:pPr>
    <w:rPr>
      <w:rFonts w:ascii="Calibri" w:hAnsi="Calibri"/>
      <w:b w:val="0"/>
      <w:color w:val="667085"/>
      <w:sz w:val="18"/>
    </w:rPr>
  </w:style>
  <w:style w:type="paragraph" w:customStyle="1" w:styleId="Callout">
    <w:name w:val="Callout"/>
    <w:pPr>
      <w:spacing w:before="80" w:after="160" w:line="264" w:lineRule="auto"/>
    </w:pPr>
    <w:rPr>
      <w:rFonts w:ascii="Calibri" w:hAnsi="Calibri"/>
      <w:b w:val="0"/>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00009998 Architect Review</dc:title>
  <dc:subject>RMA edits remove key asset attributes</dc:subject>
  <dc:creator>Probo Medical Salesforce Architecture</dc:creator>
  <cp:keywords>Salesforce, DevDO, architect review, outbound change set</cp:keywords>
  <dc:description>generated by python-docx</dc:description>
  <cp:lastModifiedBy/>
  <cp:revision>1</cp:revision>
  <dcterms:created xsi:type="dcterms:W3CDTF">2013-12-23T23:15:00Z</dcterms:created>
  <dcterms:modified xsi:type="dcterms:W3CDTF">2013-12-23T23:15:00Z</dcterms:modified>
  <cp:category/>
</cp:coreProperties>
</file>