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color w:val="2E74B5"/>
          <w:sz w:val="20"/>
        </w:rPr>
        <w:t>ARCHITECT REVIEW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Case 00010514</w:t>
      </w:r>
    </w:p>
    <w:p>
      <w:pPr>
        <w:spacing w:before="0" w:after="280"/>
      </w:pPr>
      <w:r>
        <w:rPr>
          <w:rFonts w:ascii="Calibri" w:hAnsi="Calibri"/>
          <w:b w:val="0"/>
          <w:color w:val="667085"/>
          <w:sz w:val="28"/>
        </w:rPr>
        <w:t>Core Exchange RMA not automatically opening from Work Order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Review field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Environment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Probo Medical DevDO sandbox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00010514 | Claimed | Medium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Ashley Madson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Classification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Salesforce Improvement - Work Order / RMA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Evidence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9"/>
              </w:rPr>
              <w:t>September 1, 2026</w:t>
            </w:r>
          </w:p>
        </w:tc>
      </w:tr>
    </w:tbl>
    <w:p>
      <w:pPr>
        <w:pStyle w:val="Heading1"/>
      </w:pPr>
      <w:r>
        <w:t>Executive decision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5E46"/>
          <w:sz w:val="21"/>
        </w:rPr>
        <w:t xml:space="preserve">APPROVE FOR DEVDO UAT: </w:t>
      </w:r>
      <w:r>
        <w:rPr>
          <w:rFonts w:ascii="Calibri" w:hAnsi="Calibri"/>
          <w:color w:val="0B2545"/>
          <w:sz w:val="21"/>
        </w:rPr>
        <w:t>The GE Core Exchange automation is implemented and tested in DevDO. Production release remains conditional on contract-owner UAT, confirmation of the account-matching key, and standard deployment validation.</w:t>
      </w:r>
    </w:p>
    <w:p>
      <w:pPr>
        <w:pStyle w:val="Heading1"/>
      </w:pPr>
      <w:r>
        <w:t>Story and operational impact</w:t>
      </w:r>
    </w:p>
    <w:p>
      <w:r>
        <w:t>Work Orders for the GE contract required users to create Core Exchange RMAs manually, adding operational effort and increasing the risk that a required return process would be missed.</w:t>
      </w:r>
    </w:p>
    <w:p>
      <w:pPr>
        <w:pStyle w:val="Heading1"/>
      </w:pPr>
      <w:r>
        <w:t>Steps to reproduce</w:t>
      </w:r>
    </w:p>
    <w:p>
      <w:pPr>
        <w:numPr>
          <w:ilvl w:val="0"/>
          <w:numId w:val="44"/>
        </w:numPr>
        <w:spacing w:after="160" w:line="280" w:lineRule="auto"/>
      </w:pPr>
      <w:r>
        <w:t>Create or open a Work Order for the GE Precision Healthcare account under the applicable GE contract process.</w:t>
      </w:r>
    </w:p>
    <w:p>
      <w:pPr>
        <w:numPr>
          <w:ilvl w:val="0"/>
          <w:numId w:val="44"/>
        </w:numPr>
        <w:spacing w:after="160" w:line="280" w:lineRule="auto"/>
      </w:pPr>
      <w:r>
        <w:t>Populate the Work Order Account, Opportunity, and Service Contract relationships.</w:t>
      </w:r>
    </w:p>
    <w:p>
      <w:pPr>
        <w:numPr>
          <w:ilvl w:val="0"/>
          <w:numId w:val="44"/>
        </w:numPr>
        <w:spacing w:after="160" w:line="280" w:lineRule="auto"/>
      </w:pPr>
      <w:r>
        <w:t>Save the Work Order so it first meets all qualifying conditions.</w:t>
      </w:r>
    </w:p>
    <w:p>
      <w:pPr>
        <w:numPr>
          <w:ilvl w:val="0"/>
          <w:numId w:val="44"/>
        </w:numPr>
        <w:spacing w:after="160" w:line="280" w:lineRule="auto"/>
      </w:pPr>
      <w:r>
        <w:t>Open the Work Order's related records and inspect the RMA relationship or related list.</w:t>
      </w:r>
    </w:p>
    <w:p>
      <w:pPr>
        <w:numPr>
          <w:ilvl w:val="0"/>
          <w:numId w:val="44"/>
        </w:numPr>
        <w:spacing w:after="160" w:line="280" w:lineRule="auto"/>
      </w:pPr>
      <w:r>
        <w:t>Verify whether a Core Exchange RMA was created automatically.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5E46"/>
          <w:sz w:val="21"/>
        </w:rPr>
        <w:t xml:space="preserve">Expected result: </w:t>
      </w:r>
      <w:r>
        <w:rPr>
          <w:rFonts w:ascii="Calibri" w:hAnsi="Calibri"/>
          <w:color w:val="0B2545"/>
          <w:sz w:val="21"/>
        </w:rPr>
        <w:t>Exactly one Core Exchange RMA is created automatically and linked to the qualifying Work Order, Opportunity, and Service Contract.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9B1C1C"/>
          <w:sz w:val="21"/>
        </w:rPr>
        <w:t xml:space="preserve">Pre-fix actual result: </w:t>
      </w:r>
      <w:r>
        <w:rPr>
          <w:rFonts w:ascii="Calibri" w:hAnsi="Calibri"/>
          <w:color w:val="0B2545"/>
          <w:sz w:val="21"/>
        </w:rPr>
        <w:t>Before the fix, no Core Exchange RMA was created automatically and operations had to create it manually.</w:t>
      </w:r>
    </w:p>
    <w:p>
      <w:pPr>
        <w:pStyle w:val="Heading1"/>
      </w:pPr>
      <w:r>
        <w:t>Root cause</w:t>
      </w:r>
    </w:p>
    <w:p>
      <w:r>
        <w:t>No active, scoped automation existed to create a Core Exchange RMA when a qualifying Work Order gained the required Account, Opportunity, and Service Contract relationships.</w:t>
      </w:r>
    </w:p>
    <w:p>
      <w:pPr>
        <w:pStyle w:val="Heading1"/>
      </w:pPr>
      <w:r>
        <w:t>Implemented design</w:t>
      </w:r>
    </w:p>
    <w:p>
      <w:pPr>
        <w:numPr>
          <w:ilvl w:val="0"/>
          <w:numId w:val="42"/>
        </w:numPr>
        <w:spacing w:after="160" w:line="280" w:lineRule="auto"/>
      </w:pPr>
      <w:r>
        <w:t>Added an active after-save Work Order Flow that runs only when Account, Opportunity, and Service Contract are all present and the record first meets the criteria.</w:t>
      </w:r>
    </w:p>
    <w:p>
      <w:pPr>
        <w:numPr>
          <w:ilvl w:val="0"/>
          <w:numId w:val="42"/>
        </w:numPr>
        <w:spacing w:after="160" w:line="280" w:lineRule="auto"/>
      </w:pPr>
      <w:r>
        <w:t>Reads an active Core Exchange Automation Rule custom metadata record instead of embedding GE-specific values directly in Flow logic.</w:t>
      </w:r>
    </w:p>
    <w:p>
      <w:pPr>
        <w:numPr>
          <w:ilvl w:val="0"/>
          <w:numId w:val="42"/>
        </w:numPr>
        <w:spacing w:after="160" w:line="280" w:lineRule="auto"/>
      </w:pPr>
      <w:r>
        <w:t>Resolves the configured active RMA record type by DeveloperName.</w:t>
      </w:r>
    </w:p>
    <w:p>
      <w:pPr>
        <w:numPr>
          <w:ilvl w:val="0"/>
          <w:numId w:val="42"/>
        </w:numPr>
        <w:spacing w:after="160" w:line="280" w:lineRule="auto"/>
      </w:pPr>
      <w:r>
        <w:t>Checks for an existing Core Exchange RMA by Work Order and Record Type before creating a record, preventing duplicates.</w:t>
      </w:r>
    </w:p>
    <w:p>
      <w:pPr>
        <w:numPr>
          <w:ilvl w:val="0"/>
          <w:numId w:val="42"/>
        </w:numPr>
        <w:spacing w:after="160" w:line="280" w:lineRule="auto"/>
      </w:pPr>
      <w:r>
        <w:t>Does not backfill historical Work Orders; the automation is forward-looking.</w:t>
      </w:r>
    </w:p>
    <w:p>
      <w:pPr>
        <w:pStyle w:val="Heading1"/>
      </w:pPr>
      <w:r>
        <w:t>Hard-coded value assessment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4D78"/>
          <w:sz w:val="21"/>
        </w:rPr>
        <w:t xml:space="preserve">Assessment: </w:t>
      </w:r>
      <w:r>
        <w:rPr>
          <w:rFonts w:ascii="Calibri" w:hAnsi="Calibri"/>
          <w:color w:val="0B2545"/>
          <w:sz w:val="21"/>
        </w:rPr>
        <w:t>GE-specific account and RMA record-type values were externalized into custom metadata. The Flow itself is configuration-driven. Current matching uses Account.Name, which is editable and therefore less stable than an Account ID or external key; confirm this design before Production.</w:t>
      </w:r>
    </w:p>
    <w:p>
      <w:pPr>
        <w:pStyle w:val="Heading1"/>
      </w:pPr>
      <w:r>
        <w:t>Metadata scope</w:t>
      </w:r>
    </w:p>
    <w:p>
      <w:pPr>
        <w:pStyle w:val="TableCitation"/>
      </w:pPr>
      <w:r>
        <w:t>Story-specific deployment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Type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Component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Flow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Create_Configured_Core_Exchange_RMA_From_Work_Order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Creates one configured RMA after criteria are met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Apex Test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ProboNextFourFlowRegressionTest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Proves one RMA and duplicate prevention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Custom Metadata Type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Core_Exchange_Automation_Rule__mdt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Configurable account-to-record-type schema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Custom Fields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Account_Name__c; Active__c; RMA_Record_Type_Developer_Name__c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Configuration values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Custom Metadata Record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GE_Precision_Healthcare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7"/>
              </w:rPr>
              <w:t>GE PRECISION HEALTHCARE LLC / Core_Exchange</w:t>
            </w:r>
          </w:p>
        </w:tc>
      </w:tr>
    </w:tbl>
    <w:p>
      <w:pPr>
        <w:pStyle w:val="Heading1"/>
      </w:pPr>
      <w:r>
        <w:t>Verified DevDO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Evidence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Verified result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Deployment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8"/>
              </w:rPr>
              <w:t>0AfiK0000000X8rSAE - Succeeded; 16/16 components; zero component errors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Tests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8"/>
              </w:rPr>
              <w:t>13/13 completed; zero failures; zero test errors</w:t>
            </w:r>
          </w:p>
        </w:tc>
      </w:tr>
      <w:t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Story regression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000000"/>
                <w:sz w:val="18"/>
              </w:rPr>
              <w:t>ProboNextFourFlowRegressionTest.case00010514CreatesOneConfiguredCoreExchangeRma - Passed</w:t>
            </w:r>
          </w:p>
        </w:tc>
      </w:tr>
    </w:tbl>
    <w:p>
      <w:r>
        <w:t>Passed in deployment 0AfiK0000000X8rSAE; shared run completed 13/13 tests with zero failures.</w:t>
      </w:r>
    </w:p>
    <w:p>
      <w:pPr>
        <w:pStyle w:val="Heading1"/>
      </w:pPr>
      <w:r>
        <w:t>Outbound change-set status</w:t>
      </w:r>
    </w:p>
    <w:p>
      <w:r>
        <w:t>Draft change set 'Story 00010514 Core Exchange RMA' exists in DevDO with the Flow, regression test, Core Exchange Automation Rule type, and GE_Precision_Healthcare record. It is Open and has not been uploaded.</w:t>
      </w:r>
    </w:p>
    <w:p>
      <w:pPr>
        <w:pStyle w:val="Heading1"/>
      </w:pPr>
      <w:r>
        <w:t>UAT acceptance checklist</w:t>
      </w:r>
    </w:p>
    <w:p>
      <w:pPr>
        <w:numPr>
          <w:ilvl w:val="0"/>
          <w:numId w:val="43"/>
        </w:numPr>
        <w:spacing w:after="160" w:line="280" w:lineRule="auto"/>
      </w:pPr>
      <w:r>
        <w:t>Create a GE qualifying Work Order with Account, Opportunity, and Service Contract populated.</w:t>
      </w:r>
    </w:p>
    <w:p>
      <w:pPr>
        <w:numPr>
          <w:ilvl w:val="0"/>
          <w:numId w:val="43"/>
        </w:numPr>
        <w:spacing w:after="160" w:line="280" w:lineRule="auto"/>
      </w:pPr>
      <w:r>
        <w:t>Verify exactly one RMA is created, linked to the Work Order, Opportunity, and Service Contract, with the Core Exchange record type.</w:t>
      </w:r>
    </w:p>
    <w:p>
      <w:pPr>
        <w:numPr>
          <w:ilvl w:val="0"/>
          <w:numId w:val="43"/>
        </w:numPr>
        <w:spacing w:after="160" w:line="280" w:lineRule="auto"/>
      </w:pPr>
      <w:r>
        <w:t>Edit the Work Order again and verify a second RMA is not created.</w:t>
      </w:r>
    </w:p>
    <w:p>
      <w:pPr>
        <w:numPr>
          <w:ilvl w:val="0"/>
          <w:numId w:val="43"/>
        </w:numPr>
        <w:spacing w:after="160" w:line="280" w:lineRule="auto"/>
      </w:pPr>
      <w:r>
        <w:t>Use a nonconfigured Account and verify no Core Exchange RMA is created.</w:t>
      </w:r>
    </w:p>
    <w:p>
      <w:pPr>
        <w:numPr>
          <w:ilvl w:val="0"/>
          <w:numId w:val="43"/>
        </w:numPr>
        <w:spacing w:after="160" w:line="280" w:lineRule="auto"/>
      </w:pPr>
      <w:r>
        <w:t>Remove or deactivate the metadata rule in a test context and verify no RMA is created.</w:t>
      </w:r>
    </w:p>
    <w:p>
      <w:pPr>
        <w:numPr>
          <w:ilvl w:val="0"/>
          <w:numId w:val="43"/>
        </w:numPr>
        <w:spacing w:after="160" w:line="280" w:lineRule="auto"/>
      </w:pPr>
      <w:r>
        <w:t>Confirm historical Work Orders are not backfilled unless a separate approved migration is executed.</w:t>
      </w:r>
    </w:p>
    <w:p>
      <w:pPr>
        <w:pStyle w:val="Heading1"/>
      </w:pPr>
      <w:r>
        <w:t>Risks and production gates</w:t>
      </w:r>
    </w:p>
    <w:p>
      <w:pPr>
        <w:numPr>
          <w:ilvl w:val="0"/>
          <w:numId w:val="42"/>
        </w:numPr>
        <w:spacing w:after="160" w:line="280" w:lineRule="auto"/>
      </w:pPr>
      <w:r>
        <w:t>Account.Name matching is sensitive to renames, spacing, and duplicate account names; a stable identifier is preferable for long-term governance.</w:t>
      </w:r>
    </w:p>
    <w:p>
      <w:pPr>
        <w:numPr>
          <w:ilvl w:val="0"/>
          <w:numId w:val="42"/>
        </w:numPr>
        <w:spacing w:after="160" w:line="280" w:lineRule="auto"/>
      </w:pPr>
      <w:r>
        <w:t>The automation intentionally requires all three Work Order relationships; users must understand when the record becomes eligible.</w:t>
      </w:r>
    </w:p>
    <w:p>
      <w:pPr>
        <w:numPr>
          <w:ilvl w:val="0"/>
          <w:numId w:val="42"/>
        </w:numPr>
        <w:spacing w:after="160" w:line="280" w:lineRule="auto"/>
      </w:pPr>
      <w:r>
        <w:t>The flow does not backfill existing Work Orders, so operations must decide whether any separate data remediation is needed.</w:t>
      </w:r>
    </w:p>
    <w:p>
      <w:pPr>
        <w:pStyle w:val="Heading1"/>
      </w:pPr>
      <w:r>
        <w:t>Release recommendation</w:t>
      </w:r>
    </w:p>
    <w:p>
      <w:pPr>
        <w:pStyle w:val="Callout"/>
        <w:shd w:fill="F4F6F9"/>
        <w:ind w:left="160" w:right="160"/>
      </w:pPr>
      <w:r>
        <w:rPr>
          <w:rFonts w:ascii="Calibri" w:hAnsi="Calibri"/>
          <w:b/>
          <w:color w:val="1F5E46"/>
          <w:sz w:val="21"/>
        </w:rPr>
        <w:t xml:space="preserve">Recommendation: </w:t>
      </w:r>
      <w:r>
        <w:rPr>
          <w:rFonts w:ascii="Calibri" w:hAnsi="Calibri"/>
          <w:color w:val="0B2545"/>
          <w:sz w:val="21"/>
        </w:rPr>
        <w:t>Proceed with DevDO UAT. Do not upload or deploy to Production until business acceptance, target-org validation, story-specific component review, and an approved rollback plan are recorded.</w:t>
      </w:r>
    </w:p>
    <w:p>
      <w:pPr>
        <w:pStyle w:val="Heading2"/>
      </w:pPr>
      <w:r>
        <w:t>Evidence basis</w:t>
      </w:r>
    </w:p>
    <w:p>
      <w:pPr>
        <w:numPr>
          <w:ilvl w:val="0"/>
          <w:numId w:val="42"/>
        </w:numPr>
        <w:spacing w:after="160" w:line="280" w:lineRule="auto"/>
      </w:pPr>
      <w:r>
        <w:t>Verified DevDO deployment report: 0AfiK0000000X8rSAE (Succeeded, 16/16 components, 13/13 tests).</w:t>
      </w:r>
    </w:p>
    <w:p>
      <w:pPr>
        <w:numPr>
          <w:ilvl w:val="0"/>
          <w:numId w:val="42"/>
        </w:numPr>
        <w:spacing w:after="160" w:line="280" w:lineRule="auto"/>
      </w:pPr>
      <w:r>
        <w:t>Production and DevDO scoped source snapshots under scratch/next-four-analysis.</w:t>
      </w:r>
    </w:p>
    <w:p>
      <w:pPr>
        <w:numPr>
          <w:ilvl w:val="0"/>
          <w:numId w:val="42"/>
        </w:numPr>
        <w:spacing w:after="160" w:line="280" w:lineRule="auto"/>
      </w:pPr>
      <w:r>
        <w:t>Production case snapshot under outputs/probo_case_story_dry_run_2026-08-31.</w:t>
      </w:r>
    </w:p>
    <w:p>
      <w:pPr>
        <w:numPr>
          <w:ilvl w:val="0"/>
          <w:numId w:val="42"/>
        </w:numPr>
        <w:spacing w:after="160" w:line="280" w:lineRule="auto"/>
      </w:pPr>
      <w:r>
        <w:t>Outbound Change Set browser review performed before document preparation; no change set was uploaded.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7"/>
      </w:rPr>
      <w:t xml:space="preserve">Internal - DevDO review  |  </w:t>
    </w:r>
    <w:r>
      <w:rPr>
        <w:rFonts w:ascii="Calibri" w:hAnsi="Calibri"/>
        <w:color w:val="667085"/>
        <w:sz w:val="17"/>
      </w:rPr>
      <w:t xml:space="preserve">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7"/>
      </w:rPr>
      <w:t>PROBO MEDICAL  |  SALESFORCE ARCHITECT REVIEW  |  CASE 00010514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2">
    <w:abstractNumId w:val="42"/>
  </w:num>
  <w:abstractNum w:abstractNumId="4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3">
    <w:abstractNumId w:val="43"/>
  </w:num>
  <w:abstractNum w:abstractNumId="4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/>
      <w:b w:val="0"/>
      <w:color w:val="667085"/>
      <w:sz w:val="18"/>
    </w:rPr>
  </w:style>
  <w:style w:type="paragraph" w:customStyle="1" w:styleId="Callout">
    <w:name w:val="Callout"/>
    <w:pPr>
      <w:spacing w:before="80" w:after="160" w:line="264" w:lineRule="auto"/>
    </w:pPr>
    <w:rPr>
      <w:rFonts w:ascii="Calibri" w:hAnsi="Calibri"/>
      <w:b w:val="0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00010514 Architect Review</dc:title>
  <dc:subject>Core Exchange RMA not automatically opening from Work Order</dc:subject>
  <dc:creator>Probo Medical Salesforce Architecture</dc:creator>
  <cp:keywords>Salesforce, DevDO, architect review, outbound change 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