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AUTOFAST DEVDO VALIDATION &amp; UAT GUIDE</w:t>
      </w:r>
    </w:p>
    <w:p>
      <w:pPr>
        <w:pStyle w:val="Subtitle"/>
        <w:jc w:val="left"/>
      </w:pPr>
      <w:r>
        <w:t>Evaluation Google Drive Authentication Must Return to the Correct Evaluation</w:t>
      </w:r>
    </w:p>
    <w:p>
      <w:pPr>
        <w:spacing w:before="0" w:after="40" w:line="240" w:lineRule="auto"/>
      </w:pPr>
      <w:r>
        <w:rPr>
          <w:rFonts w:ascii="Calibri" w:hAnsi="Calibri"/>
          <w:b/>
          <w:color w:val="0B2545"/>
          <w:sz w:val="21"/>
        </w:rPr>
        <w:t xml:space="preserve">Primary Production Case: </w:t>
      </w:r>
      <w:r>
        <w:rPr>
          <w:rFonts w:ascii="Calibri" w:hAnsi="Calibri"/>
          <w:color w:val="222222"/>
          <w:sz w:val="21"/>
        </w:rPr>
        <w:t>00010716</w:t>
      </w:r>
    </w:p>
    <w:p>
      <w:pPr>
        <w:spacing w:before="0" w:after="40" w:line="240" w:lineRule="auto"/>
      </w:pPr>
      <w:r>
        <w:rPr>
          <w:rFonts w:ascii="Calibri" w:hAnsi="Calibri"/>
          <w:b/>
          <w:color w:val="0B2545"/>
          <w:sz w:val="21"/>
        </w:rPr>
        <w:t xml:space="preserve">Related Production Case: </w:t>
      </w:r>
      <w:r>
        <w:rPr>
          <w:rFonts w:ascii="Calibri" w:hAnsi="Calibri"/>
          <w:color w:val="222222"/>
          <w:sz w:val="21"/>
        </w:rPr>
        <w:t>00010710</w:t>
      </w:r>
    </w:p>
    <w:p>
      <w:pPr>
        <w:spacing w:before="0" w:after="40" w:line="240" w:lineRule="auto"/>
      </w:pPr>
      <w:r>
        <w:rPr>
          <w:rFonts w:ascii="Calibri" w:hAnsi="Calibri"/>
          <w:b/>
          <w:color w:val="0B2545"/>
          <w:sz w:val="21"/>
        </w:rPr>
        <w:t xml:space="preserve">Prepared: </w:t>
      </w:r>
      <w:r>
        <w:rPr>
          <w:rFonts w:ascii="Calibri" w:hAnsi="Calibri"/>
          <w:color w:val="222222"/>
          <w:sz w:val="21"/>
        </w:rPr>
        <w:t>September 3, 2026</w:t>
      </w:r>
    </w:p>
    <w:p>
      <w:pPr>
        <w:spacing w:before="0" w:after="40" w:line="240" w:lineRule="auto"/>
      </w:pPr>
      <w:r>
        <w:rPr>
          <w:rFonts w:ascii="Calibri" w:hAnsi="Calibri"/>
          <w:b/>
          <w:color w:val="0B2545"/>
          <w:sz w:val="21"/>
        </w:rPr>
        <w:t xml:space="preserve">Environment: </w:t>
      </w:r>
      <w:r>
        <w:rPr>
          <w:rFonts w:ascii="Calibri" w:hAnsi="Calibri"/>
          <w:color w:val="222222"/>
          <w:sz w:val="21"/>
        </w:rPr>
        <w:t>Probo Medical DevDO sandbox</w:t>
      </w:r>
    </w:p>
    <w:p>
      <w:pPr>
        <w:spacing w:before="0" w:after="40" w:line="240" w:lineRule="auto"/>
      </w:pPr>
      <w:r>
        <w:rPr>
          <w:rFonts w:ascii="Calibri" w:hAnsi="Calibri"/>
          <w:b/>
          <w:color w:val="0B2545"/>
          <w:sz w:val="21"/>
        </w:rPr>
        <w:t xml:space="preserve">Review Status: </w:t>
      </w:r>
      <w:r>
        <w:rPr>
          <w:rFonts w:ascii="Calibri" w:hAnsi="Calibri"/>
          <w:color w:val="222222"/>
          <w:sz w:val="21"/>
        </w:rPr>
        <w:t>DEVDO PASS | READY FOR BUSINESS UAT</w:t>
      </w:r>
    </w:p>
    <w:p>
      <w:pPr>
        <w:spacing w:before="160" w:after="200" w:line="264" w:lineRule="auto"/>
        <w:ind w:left="173" w:right="72"/>
        <w:shd w:fill="F4F6F9"/>
        <w:pBdr>
          <w:left w:val="single" w:sz="18" w:space="8" w:color="1F6D4A"/>
        </w:pBdr>
      </w:pPr>
      <w:r>
        <w:rPr>
          <w:rFonts w:ascii="Calibri" w:hAnsi="Calibri"/>
          <w:b/>
          <w:color w:val="1F6D4A"/>
          <w:sz w:val="21"/>
        </w:rPr>
        <w:t xml:space="preserve">Architect determination: </w:t>
      </w:r>
      <w:r>
        <w:rPr>
          <w:rFonts w:ascii="Calibri" w:hAnsi="Calibri"/>
          <w:color w:val="222222"/>
          <w:sz w:val="21"/>
        </w:rPr>
        <w:t>The focused fix is deployed and active in DevDO. Automated regression passed. Manual Google authentication UAT remains required before a Production change set or Production case closure.</w:t>
      </w:r>
    </w:p>
    <w:p>
      <w:pPr>
        <w:pStyle w:val="Heading1"/>
      </w:pPr>
      <w:r>
        <w:t>1. Case Summary</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200"/>
        <w:gridCol w:w="1200"/>
        <w:gridCol w:w="1800"/>
        <w:gridCol w:w="1500"/>
        <w:gridCol w:w="3660"/>
      </w:tblGrid>
      <w:tr>
        <w:trPr>
          <w:tblHeader w:val="true"/>
        </w:trPr>
        <w:tc>
          <w:tcPr>
            <w:tcW w:type="dxa" w:w="1200"/>
            <w:vAlign w:val="center"/>
            <w:tcMar>
              <w:top w:w="80" w:type="dxa"/>
              <w:start w:w="120" w:type="dxa"/>
              <w:bottom w:w="80" w:type="dxa"/>
              <w:end w:w="120" w:type="dxa"/>
            </w:tcMar>
            <w:shd w:fill="F2F4F7" w:val="clear"/>
          </w:tcPr>
          <w:p>
            <w:pPr>
              <w:spacing w:before="0" w:after="0"/>
            </w:pPr>
            <w:r>
              <w:rPr>
                <w:rFonts w:ascii="Calibri" w:hAnsi="Calibri"/>
                <w:b/>
                <w:color w:val="0B2545"/>
                <w:sz w:val="19"/>
              </w:rPr>
              <w:t>Case</w:t>
            </w:r>
          </w:p>
        </w:tc>
        <w:tc>
          <w:tcPr>
            <w:tcW w:type="dxa" w:w="1200"/>
            <w:vAlign w:val="center"/>
            <w:tcMar>
              <w:top w:w="80" w:type="dxa"/>
              <w:start w:w="120" w:type="dxa"/>
              <w:bottom w:w="80" w:type="dxa"/>
              <w:end w:w="120" w:type="dxa"/>
            </w:tcMar>
            <w:shd w:fill="F2F4F7" w:val="clear"/>
          </w:tcPr>
          <w:p>
            <w:pPr>
              <w:spacing w:before="0" w:after="0"/>
            </w:pPr>
            <w:r>
              <w:rPr>
                <w:rFonts w:ascii="Calibri" w:hAnsi="Calibri"/>
                <w:b/>
                <w:color w:val="0B2545"/>
                <w:sz w:val="19"/>
              </w:rPr>
              <w:t>Asset</w:t>
            </w:r>
          </w:p>
        </w:tc>
        <w:tc>
          <w:tcPr>
            <w:tcW w:type="dxa" w:w="1800"/>
            <w:vAlign w:val="center"/>
            <w:tcMar>
              <w:top w:w="80" w:type="dxa"/>
              <w:start w:w="120" w:type="dxa"/>
              <w:bottom w:w="80" w:type="dxa"/>
              <w:end w:w="120" w:type="dxa"/>
            </w:tcMar>
            <w:shd w:fill="F2F4F7" w:val="clear"/>
          </w:tcPr>
          <w:p>
            <w:pPr>
              <w:spacing w:before="0" w:after="0"/>
            </w:pPr>
            <w:r>
              <w:rPr>
                <w:rFonts w:ascii="Calibri" w:hAnsi="Calibri"/>
                <w:b/>
                <w:color w:val="0B2545"/>
                <w:sz w:val="19"/>
              </w:rPr>
              <w:t>Evaluation</w:t>
            </w:r>
          </w:p>
        </w:tc>
        <w:tc>
          <w:tcPr>
            <w:tcW w:type="dxa" w:w="1500"/>
            <w:vAlign w:val="center"/>
            <w:tcMar>
              <w:top w:w="80" w:type="dxa"/>
              <w:start w:w="120" w:type="dxa"/>
              <w:bottom w:w="80" w:type="dxa"/>
              <w:end w:w="120" w:type="dxa"/>
            </w:tcMar>
            <w:shd w:fill="F2F4F7" w:val="clear"/>
          </w:tcPr>
          <w:p>
            <w:pPr>
              <w:spacing w:before="0" w:after="0"/>
            </w:pPr>
            <w:r>
              <w:rPr>
                <w:rFonts w:ascii="Calibri" w:hAnsi="Calibri"/>
                <w:b/>
                <w:color w:val="0B2545"/>
                <w:sz w:val="19"/>
              </w:rPr>
              <w:t>RMA</w:t>
            </w:r>
          </w:p>
        </w:tc>
        <w:tc>
          <w:tcPr>
            <w:tcW w:type="dxa" w:w="3660"/>
            <w:vAlign w:val="center"/>
            <w:tcMar>
              <w:top w:w="80" w:type="dxa"/>
              <w:start w:w="120" w:type="dxa"/>
              <w:bottom w:w="80" w:type="dxa"/>
              <w:end w:w="120" w:type="dxa"/>
            </w:tcMar>
            <w:shd w:fill="F2F4F7" w:val="clear"/>
          </w:tcPr>
          <w:p>
            <w:pPr>
              <w:spacing w:before="0" w:after="0"/>
            </w:pPr>
            <w:r>
              <w:rPr>
                <w:rFonts w:ascii="Calibri" w:hAnsi="Calibri"/>
                <w:b/>
                <w:color w:val="0B2545"/>
                <w:sz w:val="19"/>
              </w:rPr>
              <w:t>Reported result</w:t>
            </w:r>
          </w:p>
        </w:tc>
      </w:tr>
      <w:tr>
        <w:tc>
          <w:tcPr>
            <w:tcW w:type="dxa" w:w="1200"/>
          </w:tcPr>
          <w:p>
            <w:pPr>
              <w:spacing w:before="0" w:after="0" w:line="252" w:lineRule="auto"/>
            </w:pPr>
            <w:r>
              <w:rPr>
                <w:rFonts w:ascii="Calibri" w:hAnsi="Calibri"/>
                <w:b w:val="0"/>
                <w:color w:val="222222"/>
                <w:sz w:val="19"/>
              </w:rPr>
              <w:t>00010710</w:t>
            </w:r>
          </w:p>
        </w:tc>
        <w:tc>
          <w:tcPr>
            <w:tcW w:type="dxa" w:w="1200"/>
          </w:tcPr>
          <w:p>
            <w:pPr>
              <w:spacing w:before="0" w:after="0" w:line="252" w:lineRule="auto"/>
            </w:pPr>
            <w:r>
              <w:rPr>
                <w:rFonts w:ascii="Calibri" w:hAnsi="Calibri"/>
                <w:b w:val="0"/>
                <w:color w:val="222222"/>
                <w:sz w:val="19"/>
              </w:rPr>
              <w:t>554076</w:t>
            </w:r>
          </w:p>
        </w:tc>
        <w:tc>
          <w:tcPr>
            <w:tcW w:type="dxa" w:w="1800"/>
          </w:tcPr>
          <w:p>
            <w:pPr>
              <w:spacing w:before="0" w:after="0" w:line="252" w:lineRule="auto"/>
            </w:pPr>
            <w:r>
              <w:rPr>
                <w:rFonts w:ascii="Calibri" w:hAnsi="Calibri"/>
                <w:b w:val="0"/>
                <w:color w:val="222222"/>
                <w:sz w:val="19"/>
              </w:rPr>
              <w:t>E-2026-036222</w:t>
            </w:r>
          </w:p>
        </w:tc>
        <w:tc>
          <w:tcPr>
            <w:tcW w:type="dxa" w:w="1500"/>
          </w:tcPr>
          <w:p>
            <w:pPr>
              <w:spacing w:before="0" w:after="0" w:line="252" w:lineRule="auto"/>
            </w:pPr>
            <w:r>
              <w:rPr>
                <w:rFonts w:ascii="Calibri" w:hAnsi="Calibri"/>
                <w:b w:val="0"/>
                <w:color w:val="222222"/>
                <w:sz w:val="19"/>
              </w:rPr>
              <w:t>A-219278</w:t>
            </w:r>
          </w:p>
        </w:tc>
        <w:tc>
          <w:tcPr>
            <w:tcW w:type="dxa" w:w="3660"/>
          </w:tcPr>
          <w:p>
            <w:pPr>
              <w:spacing w:before="0" w:after="0" w:line="252" w:lineRule="auto"/>
            </w:pPr>
            <w:r>
              <w:rPr>
                <w:rFonts w:ascii="Calibri" w:hAnsi="Calibri"/>
                <w:b w:val="0"/>
                <w:color w:val="222222"/>
                <w:sz w:val="19"/>
              </w:rPr>
              <w:t>Authentication returned a null-reference error.</w:t>
            </w:r>
          </w:p>
        </w:tc>
      </w:tr>
      <w:tr>
        <w:tc>
          <w:tcPr>
            <w:tcW w:type="dxa" w:w="1200"/>
          </w:tcPr>
          <w:p>
            <w:pPr>
              <w:spacing w:before="0" w:after="0" w:line="252" w:lineRule="auto"/>
            </w:pPr>
            <w:r>
              <w:rPr>
                <w:rFonts w:ascii="Calibri" w:hAnsi="Calibri"/>
                <w:b w:val="0"/>
                <w:color w:val="222222"/>
                <w:sz w:val="19"/>
              </w:rPr>
              <w:t>00010716</w:t>
            </w:r>
          </w:p>
        </w:tc>
        <w:tc>
          <w:tcPr>
            <w:tcW w:type="dxa" w:w="1200"/>
          </w:tcPr>
          <w:p>
            <w:pPr>
              <w:spacing w:before="0" w:after="0" w:line="252" w:lineRule="auto"/>
            </w:pPr>
            <w:r>
              <w:rPr>
                <w:rFonts w:ascii="Calibri" w:hAnsi="Calibri"/>
                <w:b w:val="0"/>
                <w:color w:val="222222"/>
                <w:sz w:val="19"/>
              </w:rPr>
              <w:t>554470</w:t>
            </w:r>
          </w:p>
        </w:tc>
        <w:tc>
          <w:tcPr>
            <w:tcW w:type="dxa" w:w="1800"/>
          </w:tcPr>
          <w:p>
            <w:pPr>
              <w:spacing w:before="0" w:after="0" w:line="252" w:lineRule="auto"/>
            </w:pPr>
            <w:r>
              <w:rPr>
                <w:rFonts w:ascii="Calibri" w:hAnsi="Calibri"/>
                <w:b w:val="0"/>
                <w:color w:val="222222"/>
                <w:sz w:val="19"/>
              </w:rPr>
              <w:t>E-2026-036262</w:t>
            </w:r>
          </w:p>
        </w:tc>
        <w:tc>
          <w:tcPr>
            <w:tcW w:type="dxa" w:w="1500"/>
          </w:tcPr>
          <w:p>
            <w:pPr>
              <w:spacing w:before="0" w:after="0" w:line="252" w:lineRule="auto"/>
            </w:pPr>
            <w:r>
              <w:rPr>
                <w:rFonts w:ascii="Calibri" w:hAnsi="Calibri"/>
                <w:b w:val="0"/>
                <w:color w:val="222222"/>
                <w:sz w:val="19"/>
              </w:rPr>
              <w:t>A-219744</w:t>
            </w:r>
          </w:p>
        </w:tc>
        <w:tc>
          <w:tcPr>
            <w:tcW w:type="dxa" w:w="3660"/>
          </w:tcPr>
          <w:p>
            <w:pPr>
              <w:spacing w:before="0" w:after="0" w:line="252" w:lineRule="auto"/>
            </w:pPr>
            <w:r>
              <w:rPr>
                <w:rFonts w:ascii="Calibri" w:hAnsi="Calibri"/>
                <w:b w:val="0"/>
                <w:color w:val="222222"/>
                <w:sz w:val="19"/>
              </w:rPr>
              <w:t>Authentication returned a null-reference error.</w:t>
            </w:r>
          </w:p>
        </w:tc>
      </w:tr>
    </w:tbl>
    <w:p>
      <w:pPr>
        <w:spacing w:after="0"/>
      </w:pPr>
    </w:p>
    <w:p>
      <w:pPr>
        <w:keepLines/>
      </w:pPr>
      <w:r>
        <w:rPr>
          <w:rFonts w:ascii="Calibri" w:hAnsi="Calibri"/>
          <w:b/>
          <w:color w:val="0B2545"/>
        </w:rPr>
        <w:t xml:space="preserve">Business impact: </w:t>
      </w:r>
      <w:r>
        <w:rPr>
          <w:rFonts w:ascii="Calibri" w:hAnsi="Calibri"/>
          <w:color w:val="222222"/>
        </w:rPr>
        <w:t>A repair user could not reliably complete Evaluation Google Drive authentication and continue image processing. Under concurrent activity, the callback could also select a different recently modified Evaluation.</w:t>
      </w:r>
    </w:p>
    <w:p>
      <w:pPr>
        <w:pStyle w:val="Heading1"/>
      </w:pPr>
      <w:r>
        <w:t>2. What Happened and What We Changed</w:t>
      </w:r>
    </w:p>
    <w:p>
      <w:pPr>
        <w:keepLines/>
      </w:pPr>
      <w:r>
        <w:rPr>
          <w:rFonts w:ascii="Calibri" w:hAnsi="Calibri"/>
          <w:b/>
          <w:color w:val="0B2545"/>
        </w:rPr>
        <w:t xml:space="preserve">Why it happened: </w:t>
      </w:r>
      <w:r>
        <w:rPr>
          <w:rFonts w:ascii="Calibri" w:hAnsi="Calibri"/>
          <w:color w:val="222222"/>
        </w:rPr>
        <w:t>When the user returned from Google, Salesforce had lost the Id of the Evaluation where authentication started. The page tried to recover by choosing the latest Evaluation modified by the current user. In a shared site/guest context, that can be a different Evaluation or no usable record at all.</w:t>
      </w:r>
    </w:p>
    <w:p>
      <w:pPr>
        <w:keepLines/>
      </w:pPr>
      <w:r>
        <w:rPr>
          <w:rFonts w:ascii="Calibri" w:hAnsi="Calibri"/>
          <w:b/>
          <w:color w:val="0B2545"/>
        </w:rPr>
        <w:t xml:space="preserve">How we fixed the callback: </w:t>
      </w:r>
      <w:r>
        <w:rPr>
          <w:rFonts w:ascii="Calibri" w:hAnsi="Calibri"/>
          <w:color w:val="222222"/>
        </w:rPr>
        <w:t>The authentication request now carries the originating Evaluation Id securely through OAuth state. When Google returns the user to Salesforce, the page restores that Id and confirms it belongs to an Evaluation before doing any work.</w:t>
      </w:r>
    </w:p>
    <w:p>
      <w:pPr>
        <w:keepLines/>
      </w:pPr>
      <w:r>
        <w:rPr>
          <w:rFonts w:ascii="Calibri" w:hAnsi="Calibri"/>
          <w:b/>
          <w:color w:val="0B2545"/>
        </w:rPr>
        <w:t xml:space="preserve">Wrong-record protection: </w:t>
      </w:r>
      <w:r>
        <w:rPr>
          <w:rFonts w:ascii="Calibri" w:hAnsi="Calibri"/>
          <w:color w:val="222222"/>
        </w:rPr>
        <w:t>The latest-record-by-user fallback was removed. If Salesforce cannot identify the original Evaluation, processing stops and shows a clear message instead of guessing.</w:t>
      </w:r>
    </w:p>
    <w:p>
      <w:pPr>
        <w:keepLines/>
      </w:pPr>
      <w:r>
        <w:rPr>
          <w:rFonts w:ascii="Calibri" w:hAnsi="Calibri"/>
          <w:b/>
          <w:color w:val="0B2545"/>
        </w:rPr>
        <w:t xml:space="preserve">Clearer error handling: </w:t>
      </w:r>
      <w:r>
        <w:rPr>
          <w:rFonts w:ascii="Calibri" w:hAnsi="Calibri"/>
          <w:color w:val="222222"/>
        </w:rPr>
        <w:t>If the Evaluation, RMA, Product Item, Product Test, or Google Drive folder is missing, the user now receives a readable page message instead of a null-reference error.</w:t>
      </w:r>
    </w:p>
    <w:p>
      <w:pPr>
        <w:keepLines/>
      </w:pPr>
      <w:r>
        <w:rPr>
          <w:rFonts w:ascii="Calibri" w:hAnsi="Calibri"/>
          <w:b/>
          <w:color w:val="0B2545"/>
        </w:rPr>
        <w:t xml:space="preserve">Cleaner folder handling: </w:t>
      </w:r>
      <w:r>
        <w:rPr>
          <w:rFonts w:ascii="Calibri" w:hAnsi="Calibri"/>
          <w:color w:val="222222"/>
        </w:rPr>
        <w:t>Salesforce now extracts the folder Id correctly when the saved Google Drive value is a full folder URL or includes a resource-key query string.</w:t>
      </w:r>
    </w:p>
    <w:p>
      <w:pPr>
        <w:spacing w:before="160" w:after="200" w:line="264" w:lineRule="auto"/>
        <w:ind w:left="173" w:right="72"/>
        <w:shd w:fill="F4F6F9"/>
        <w:pBdr>
          <w:left w:val="single" w:sz="18" w:space="8" w:color="2E74B5"/>
        </w:pBdr>
      </w:pPr>
      <w:r>
        <w:rPr>
          <w:rFonts w:ascii="Calibri" w:hAnsi="Calibri"/>
          <w:b/>
          <w:color w:val="2E74B5"/>
          <w:sz w:val="21"/>
        </w:rPr>
        <w:t xml:space="preserve">No-hardcoding control: </w:t>
      </w:r>
      <w:r>
        <w:rPr>
          <w:rFonts w:ascii="Calibri" w:hAnsi="Calibri"/>
          <w:color w:val="222222"/>
          <w:sz w:val="21"/>
        </w:rPr>
        <w:t>This fix introduces no Salesforce record Ids or business configuration constants. Existing legacy Google OAuth credentials predate this change and remain technical debt; a separate Named Credential migration is recommended and is not part of this case fix.</w:t>
      </w:r>
    </w:p>
    <w:p>
      <w:pPr>
        <w:spacing w:after="0"/>
      </w:pPr>
      <w:r>
        <w:br w:type="page"/>
      </w:r>
    </w:p>
    <w:p>
      <w:pPr>
        <w:pStyle w:val="Heading1"/>
      </w:pPr>
      <w:r>
        <w:t>3. Steps to Reproduce and Validate</w:t>
      </w:r>
    </w:p>
    <w:p>
      <w:pPr>
        <w:spacing w:before="160" w:after="200" w:line="264" w:lineRule="auto"/>
        <w:ind w:left="173" w:right="72"/>
        <w:shd w:fill="F4F6F9"/>
        <w:pBdr>
          <w:left w:val="single" w:sz="18" w:space="8" w:color="2E74B5"/>
        </w:pBdr>
      </w:pPr>
      <w:r>
        <w:rPr>
          <w:rFonts w:ascii="Calibri" w:hAnsi="Calibri"/>
          <w:b/>
          <w:color w:val="2E74B5"/>
          <w:sz w:val="21"/>
        </w:rPr>
        <w:t xml:space="preserve">Execution boundary: </w:t>
      </w:r>
      <w:r>
        <w:rPr>
          <w:rFonts w:ascii="Calibri" w:hAnsi="Calibri"/>
          <w:color w:val="222222"/>
          <w:sz w:val="21"/>
        </w:rPr>
        <w:t>Run these steps in DevDO with sandbox test records. Do not use the Production record Ids above as DevDO test data, and do not repeat in Production until an approved deployment is completed.</w:t>
      </w:r>
    </w:p>
    <w:p>
      <w:pPr>
        <w:keepLines/>
      </w:pPr>
      <w:r>
        <w:rPr>
          <w:rFonts w:ascii="Calibri" w:hAnsi="Calibri"/>
          <w:b/>
          <w:color w:val="0B2545"/>
        </w:rPr>
        <w:t xml:space="preserve">Preconditions: </w:t>
      </w:r>
      <w:r>
        <w:rPr>
          <w:rFonts w:ascii="Calibri" w:hAnsi="Calibri"/>
          <w:color w:val="222222"/>
        </w:rPr>
        <w:t>Use an authorized DevDO repair user. Prepare Evaluation A with an associated RMA and Product Item whose Google Drive folder value is populated. Prepare Evaluation B as a separate competing record. The tester must be able to complete the external Google sign-in.</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8460"/>
      </w:tblGrid>
      <w:tr>
        <w:trPr>
          <w:tblHeader w:val="true"/>
        </w:trPr>
        <w:tc>
          <w:tcPr>
            <w:tcW w:type="dxa" w:w="900"/>
            <w:vAlign w:val="center"/>
            <w:tcMar>
              <w:top w:w="80" w:type="dxa"/>
              <w:start w:w="120" w:type="dxa"/>
              <w:bottom w:w="80" w:type="dxa"/>
              <w:end w:w="120" w:type="dxa"/>
            </w:tcMar>
            <w:shd w:fill="F2F4F7" w:val="clear"/>
          </w:tcPr>
          <w:p>
            <w:pPr>
              <w:spacing w:before="0" w:after="0"/>
            </w:pPr>
            <w:r>
              <w:rPr>
                <w:rFonts w:ascii="Calibri" w:hAnsi="Calibri"/>
                <w:b/>
                <w:color w:val="0B2545"/>
                <w:sz w:val="19"/>
              </w:rPr>
              <w:t>Step</w:t>
            </w:r>
          </w:p>
        </w:tc>
        <w:tc>
          <w:tcPr>
            <w:tcW w:type="dxa" w:w="8460"/>
            <w:vAlign w:val="center"/>
            <w:tcMar>
              <w:top w:w="80" w:type="dxa"/>
              <w:start w:w="120" w:type="dxa"/>
              <w:bottom w:w="80" w:type="dxa"/>
              <w:end w:w="120" w:type="dxa"/>
            </w:tcMar>
            <w:shd w:fill="F2F4F7" w:val="clear"/>
          </w:tcPr>
          <w:p>
            <w:pPr>
              <w:spacing w:before="0" w:after="0"/>
            </w:pPr>
            <w:r>
              <w:rPr>
                <w:rFonts w:ascii="Calibri" w:hAnsi="Calibri"/>
                <w:b/>
                <w:color w:val="0B2545"/>
                <w:sz w:val="19"/>
              </w:rPr>
              <w:t>Action</w:t>
            </w:r>
          </w:p>
        </w:tc>
      </w:tr>
      <w:tr>
        <w:tc>
          <w:tcPr>
            <w:tcW w:type="dxa" w:w="900"/>
          </w:tcPr>
          <w:p>
            <w:pPr>
              <w:spacing w:before="0" w:after="0" w:line="252" w:lineRule="auto"/>
            </w:pPr>
            <w:r>
              <w:rPr>
                <w:rFonts w:ascii="Calibri" w:hAnsi="Calibri"/>
                <w:b w:val="0"/>
                <w:color w:val="222222"/>
                <w:sz w:val="19"/>
              </w:rPr>
              <w:t>1</w:t>
            </w:r>
          </w:p>
        </w:tc>
        <w:tc>
          <w:tcPr>
            <w:tcW w:type="dxa" w:w="8460"/>
          </w:tcPr>
          <w:p>
            <w:pPr>
              <w:spacing w:before="0" w:after="0" w:line="252" w:lineRule="auto"/>
            </w:pPr>
            <w:r>
              <w:rPr>
                <w:rFonts w:ascii="Calibri" w:hAnsi="Calibri"/>
                <w:b w:val="0"/>
                <w:color w:val="222222"/>
                <w:sz w:val="19"/>
              </w:rPr>
              <w:t>Open Evaluation A in DevDO and confirm its RMA, Product Item, and Google Drive folder prerequisites.</w:t>
            </w:r>
          </w:p>
        </w:tc>
      </w:tr>
      <w:tr>
        <w:tc>
          <w:tcPr>
            <w:tcW w:type="dxa" w:w="900"/>
          </w:tcPr>
          <w:p>
            <w:pPr>
              <w:spacing w:before="0" w:after="0" w:line="252" w:lineRule="auto"/>
            </w:pPr>
            <w:r>
              <w:rPr>
                <w:rFonts w:ascii="Calibri" w:hAnsi="Calibri"/>
                <w:b w:val="0"/>
                <w:color w:val="222222"/>
                <w:sz w:val="19"/>
              </w:rPr>
              <w:t>2</w:t>
            </w:r>
          </w:p>
        </w:tc>
        <w:tc>
          <w:tcPr>
            <w:tcW w:type="dxa" w:w="8460"/>
          </w:tcPr>
          <w:p>
            <w:pPr>
              <w:spacing w:before="0" w:after="0" w:line="252" w:lineRule="auto"/>
            </w:pPr>
            <w:r>
              <w:rPr>
                <w:rFonts w:ascii="Calibri" w:hAnsi="Calibri"/>
                <w:b w:val="0"/>
                <w:color w:val="222222"/>
                <w:sz w:val="19"/>
              </w:rPr>
              <w:t>In a second browser tab, open Evaluation B and save a harmless test-data update so it is modified after Evaluation A.</w:t>
            </w:r>
          </w:p>
        </w:tc>
      </w:tr>
      <w:tr>
        <w:tc>
          <w:tcPr>
            <w:tcW w:type="dxa" w:w="900"/>
          </w:tcPr>
          <w:p>
            <w:pPr>
              <w:spacing w:before="0" w:after="0" w:line="252" w:lineRule="auto"/>
            </w:pPr>
            <w:r>
              <w:rPr>
                <w:rFonts w:ascii="Calibri" w:hAnsi="Calibri"/>
                <w:b w:val="0"/>
                <w:color w:val="222222"/>
                <w:sz w:val="19"/>
              </w:rPr>
              <w:t>3</w:t>
            </w:r>
          </w:p>
        </w:tc>
        <w:tc>
          <w:tcPr>
            <w:tcW w:type="dxa" w:w="8460"/>
          </w:tcPr>
          <w:p>
            <w:pPr>
              <w:spacing w:before="0" w:after="0" w:line="252" w:lineRule="auto"/>
            </w:pPr>
            <w:r>
              <w:rPr>
                <w:rFonts w:ascii="Calibri" w:hAnsi="Calibri"/>
                <w:b w:val="0"/>
                <w:color w:val="222222"/>
                <w:sz w:val="19"/>
              </w:rPr>
              <w:t>Return to Evaluation A and start the Google Drive authentication action.</w:t>
            </w:r>
          </w:p>
        </w:tc>
      </w:tr>
      <w:tr>
        <w:tc>
          <w:tcPr>
            <w:tcW w:type="dxa" w:w="900"/>
          </w:tcPr>
          <w:p>
            <w:pPr>
              <w:spacing w:before="0" w:after="0" w:line="252" w:lineRule="auto"/>
            </w:pPr>
            <w:r>
              <w:rPr>
                <w:rFonts w:ascii="Calibri" w:hAnsi="Calibri"/>
                <w:b w:val="0"/>
                <w:color w:val="222222"/>
                <w:sz w:val="19"/>
              </w:rPr>
              <w:t>4</w:t>
            </w:r>
          </w:p>
        </w:tc>
        <w:tc>
          <w:tcPr>
            <w:tcW w:type="dxa" w:w="8460"/>
          </w:tcPr>
          <w:p>
            <w:pPr>
              <w:spacing w:before="0" w:after="0" w:line="252" w:lineRule="auto"/>
            </w:pPr>
            <w:r>
              <w:rPr>
                <w:rFonts w:ascii="Calibri" w:hAnsi="Calibri"/>
                <w:b w:val="0"/>
                <w:color w:val="222222"/>
                <w:sz w:val="19"/>
              </w:rPr>
              <w:t>Complete the Google sign-in and consent flow, then allow the browser to return to Salesforce.</w:t>
            </w:r>
          </w:p>
        </w:tc>
      </w:tr>
      <w:tr>
        <w:tc>
          <w:tcPr>
            <w:tcW w:type="dxa" w:w="900"/>
          </w:tcPr>
          <w:p>
            <w:pPr>
              <w:spacing w:before="0" w:after="0" w:line="252" w:lineRule="auto"/>
            </w:pPr>
            <w:r>
              <w:rPr>
                <w:rFonts w:ascii="Calibri" w:hAnsi="Calibri"/>
                <w:b w:val="0"/>
                <w:color w:val="222222"/>
                <w:sz w:val="19"/>
              </w:rPr>
              <w:t>5</w:t>
            </w:r>
          </w:p>
        </w:tc>
        <w:tc>
          <w:tcPr>
            <w:tcW w:type="dxa" w:w="8460"/>
          </w:tcPr>
          <w:p>
            <w:pPr>
              <w:spacing w:before="0" w:after="0" w:line="252" w:lineRule="auto"/>
            </w:pPr>
            <w:r>
              <w:rPr>
                <w:rFonts w:ascii="Calibri" w:hAnsi="Calibri"/>
                <w:b w:val="0"/>
                <w:color w:val="222222"/>
                <w:sz w:val="19"/>
              </w:rPr>
              <w:t>Confirm the callback returns to Evaluation A without an 'Attempt to de-reference a null object' message.</w:t>
            </w:r>
          </w:p>
        </w:tc>
      </w:tr>
      <w:tr>
        <w:tc>
          <w:tcPr>
            <w:tcW w:type="dxa" w:w="900"/>
          </w:tcPr>
          <w:p>
            <w:pPr>
              <w:spacing w:before="0" w:after="0" w:line="252" w:lineRule="auto"/>
            </w:pPr>
            <w:r>
              <w:rPr>
                <w:rFonts w:ascii="Calibri" w:hAnsi="Calibri"/>
                <w:b w:val="0"/>
                <w:color w:val="222222"/>
                <w:sz w:val="19"/>
              </w:rPr>
              <w:t>6</w:t>
            </w:r>
          </w:p>
        </w:tc>
        <w:tc>
          <w:tcPr>
            <w:tcW w:type="dxa" w:w="8460"/>
          </w:tcPr>
          <w:p>
            <w:pPr>
              <w:spacing w:before="0" w:after="0" w:line="252" w:lineRule="auto"/>
            </w:pPr>
            <w:r>
              <w:rPr>
                <w:rFonts w:ascii="Calibri" w:hAnsi="Calibri"/>
                <w:b w:val="0"/>
                <w:color w:val="222222"/>
                <w:sz w:val="19"/>
              </w:rPr>
              <w:t>Refresh both records. Confirm Evaluation A received the expected Drive image references and Evaluation B was not changed.</w:t>
            </w:r>
          </w:p>
        </w:tc>
      </w:tr>
    </w:tbl>
    <w:p>
      <w:pPr>
        <w:spacing w:after="0"/>
      </w:pPr>
    </w:p>
    <w:p>
      <w:pPr>
        <w:spacing w:before="160" w:after="200" w:line="264" w:lineRule="auto"/>
        <w:ind w:left="173" w:right="72"/>
        <w:shd w:fill="F4F6F9"/>
        <w:pBdr>
          <w:left w:val="single" w:sz="18" w:space="8" w:color="1F6D4A"/>
        </w:pBdr>
      </w:pPr>
      <w:r>
        <w:rPr>
          <w:rFonts w:ascii="Calibri" w:hAnsi="Calibri"/>
          <w:b/>
          <w:color w:val="1F6D4A"/>
          <w:sz w:val="21"/>
        </w:rPr>
        <w:t xml:space="preserve">What the tester should see: </w:t>
      </w:r>
      <w:r>
        <w:rPr>
          <w:rFonts w:ascii="Calibri" w:hAnsi="Calibri"/>
          <w:color w:val="222222"/>
          <w:sz w:val="21"/>
        </w:rPr>
        <w:t>Salesforce returns to Evaluation A, processes its configured Drive folder, and leaves Evaluation B untouched. If a required relationship or folder is missing, the page explains what is missing and does not update another Evaluation.</w:t>
      </w:r>
    </w:p>
    <w:p>
      <w:pPr>
        <w:keepLines/>
      </w:pPr>
      <w:r>
        <w:rPr>
          <w:rFonts w:ascii="Calibri" w:hAnsi="Calibri"/>
          <w:b/>
          <w:color w:val="0B2545"/>
        </w:rPr>
        <w:t xml:space="preserve">What happened before the fix: </w:t>
      </w:r>
      <w:r>
        <w:rPr>
          <w:rFonts w:ascii="Calibri" w:hAnsi="Calibri"/>
          <w:color w:val="222222"/>
        </w:rPr>
        <w:t>The callback showed a null-reference error or selected the most recently modified Evaluation instead of the Evaluation where authentication started.</w:t>
      </w:r>
    </w:p>
    <w:p>
      <w:pPr>
        <w:pStyle w:val="Heading1"/>
      </w:pPr>
      <w:r>
        <w:t>4. Verification Evidence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Evidence</w:t>
            </w:r>
          </w:p>
        </w:tc>
        <w:tc>
          <w:tcPr>
            <w:tcW w:type="dxa" w:w="6660"/>
            <w:vAlign w:val="center"/>
            <w:tcMar>
              <w:top w:w="80" w:type="dxa"/>
              <w:start w:w="120" w:type="dxa"/>
              <w:bottom w:w="80" w:type="dxa"/>
              <w:end w:w="120" w:type="dxa"/>
            </w:tcMar>
            <w:shd w:fill="F2F4F7" w:val="clear"/>
          </w:tcPr>
          <w:p>
            <w:pPr>
              <w:spacing w:before="0" w:after="0"/>
            </w:pPr>
            <w:r>
              <w:rPr>
                <w:rFonts w:ascii="Calibri" w:hAnsi="Calibri"/>
                <w:b/>
                <w:color w:val="0B2545"/>
                <w:sz w:val="19"/>
              </w:rPr>
              <w:t>Verified result</w:t>
            </w:r>
          </w:p>
        </w:tc>
      </w:tr>
      <w:tr>
        <w:tc>
          <w:tcPr>
            <w:tcW w:type="dxa" w:w="2700"/>
          </w:tcPr>
          <w:p>
            <w:pPr>
              <w:spacing w:before="0" w:after="0" w:line="252" w:lineRule="auto"/>
            </w:pPr>
            <w:r>
              <w:rPr>
                <w:rFonts w:ascii="Calibri" w:hAnsi="Calibri"/>
                <w:b w:val="0"/>
                <w:color w:val="222222"/>
                <w:sz w:val="19"/>
              </w:rPr>
              <w:t>Check-only validation</w:t>
            </w:r>
          </w:p>
        </w:tc>
        <w:tc>
          <w:tcPr>
            <w:tcW w:type="dxa" w:w="6660"/>
          </w:tcPr>
          <w:p>
            <w:pPr>
              <w:spacing w:before="0" w:after="0" w:line="252" w:lineRule="auto"/>
            </w:pPr>
            <w:r>
              <w:rPr>
                <w:rFonts w:ascii="Calibri" w:hAnsi="Calibri"/>
                <w:b w:val="0"/>
                <w:color w:val="222222"/>
                <w:sz w:val="19"/>
              </w:rPr>
              <w:t>0AfiK0000000iNdSAI - Succeeded; 3/3 components; 4/4 tests.</w:t>
            </w:r>
          </w:p>
        </w:tc>
      </w:tr>
      <w:tr>
        <w:tc>
          <w:tcPr>
            <w:tcW w:type="dxa" w:w="2700"/>
          </w:tcPr>
          <w:p>
            <w:pPr>
              <w:spacing w:before="0" w:after="0" w:line="252" w:lineRule="auto"/>
            </w:pPr>
            <w:r>
              <w:rPr>
                <w:rFonts w:ascii="Calibri" w:hAnsi="Calibri"/>
                <w:b w:val="0"/>
                <w:color w:val="222222"/>
                <w:sz w:val="19"/>
              </w:rPr>
              <w:t>DevDO deployment</w:t>
            </w:r>
          </w:p>
        </w:tc>
        <w:tc>
          <w:tcPr>
            <w:tcW w:type="dxa" w:w="6660"/>
          </w:tcPr>
          <w:p>
            <w:pPr>
              <w:spacing w:before="0" w:after="0" w:line="252" w:lineRule="auto"/>
            </w:pPr>
            <w:r>
              <w:rPr>
                <w:rFonts w:ascii="Calibri" w:hAnsi="Calibri"/>
                <w:b w:val="0"/>
                <w:color w:val="222222"/>
                <w:sz w:val="19"/>
              </w:rPr>
              <w:t>0AfiK0000000iPFSAY - Succeeded; 3/3 components; 4/4 tests.</w:t>
            </w:r>
          </w:p>
        </w:tc>
      </w:tr>
      <w:tr>
        <w:tc>
          <w:tcPr>
            <w:tcW w:type="dxa" w:w="2700"/>
          </w:tcPr>
          <w:p>
            <w:pPr>
              <w:spacing w:before="0" w:after="0" w:line="252" w:lineRule="auto"/>
            </w:pPr>
            <w:r>
              <w:rPr>
                <w:rFonts w:ascii="Calibri" w:hAnsi="Calibri"/>
                <w:b w:val="0"/>
                <w:color w:val="222222"/>
                <w:sz w:val="19"/>
              </w:rPr>
              <w:t>Post-deployment regression</w:t>
            </w:r>
          </w:p>
        </w:tc>
        <w:tc>
          <w:tcPr>
            <w:tcW w:type="dxa" w:w="6660"/>
          </w:tcPr>
          <w:p>
            <w:pPr>
              <w:spacing w:before="0" w:after="0" w:line="252" w:lineRule="auto"/>
            </w:pPr>
            <w:r>
              <w:rPr>
                <w:rFonts w:ascii="Calibri" w:hAnsi="Calibri"/>
                <w:b/>
                <w:color w:val="1F6D4A"/>
                <w:sz w:val="19"/>
              </w:rPr>
              <w:t>707iK000000793S - 4 tests passed; 0 failures; 100% pass rate.</w:t>
            </w:r>
          </w:p>
        </w:tc>
      </w:tr>
      <w:tr>
        <w:tc>
          <w:tcPr>
            <w:tcW w:type="dxa" w:w="2700"/>
          </w:tcPr>
          <w:p>
            <w:pPr>
              <w:spacing w:before="0" w:after="0" w:line="252" w:lineRule="auto"/>
            </w:pPr>
            <w:r>
              <w:rPr>
                <w:rFonts w:ascii="Calibri" w:hAnsi="Calibri"/>
                <w:b w:val="0"/>
                <w:color w:val="222222"/>
                <w:sz w:val="19"/>
              </w:rPr>
              <w:t>Focused coverage</w:t>
            </w:r>
          </w:p>
        </w:tc>
        <w:tc>
          <w:tcPr>
            <w:tcW w:type="dxa" w:w="6660"/>
          </w:tcPr>
          <w:p>
            <w:pPr>
              <w:spacing w:before="0" w:after="0" w:line="252" w:lineRule="auto"/>
            </w:pPr>
            <w:r>
              <w:rPr>
                <w:rFonts w:ascii="Calibri" w:hAnsi="Calibri"/>
                <w:b w:val="0"/>
                <w:color w:val="222222"/>
                <w:sz w:val="19"/>
              </w:rPr>
              <w:t>Controller 301/397 lines (75.8%); OAuth URI helper 15/17 lines (88.2%).</w:t>
            </w:r>
          </w:p>
        </w:tc>
      </w:tr>
      <w:tr>
        <w:tc>
          <w:tcPr>
            <w:tcW w:type="dxa" w:w="2700"/>
          </w:tcPr>
          <w:p>
            <w:pPr>
              <w:spacing w:before="0" w:after="0" w:line="252" w:lineRule="auto"/>
            </w:pPr>
            <w:r>
              <w:rPr>
                <w:rFonts w:ascii="Calibri" w:hAnsi="Calibri"/>
                <w:b w:val="0"/>
                <w:color w:val="222222"/>
                <w:sz w:val="19"/>
              </w:rPr>
              <w:t>Metadata read-back</w:t>
            </w:r>
          </w:p>
        </w:tc>
        <w:tc>
          <w:tcPr>
            <w:tcW w:type="dxa" w:w="6660"/>
          </w:tcPr>
          <w:p>
            <w:pPr>
              <w:spacing w:before="0" w:after="0" w:line="252" w:lineRule="auto"/>
            </w:pPr>
            <w:r>
              <w:rPr>
                <w:rFonts w:ascii="Calibri" w:hAnsi="Calibri"/>
                <w:b/>
                <w:color w:val="1F6D4A"/>
                <w:sz w:val="19"/>
              </w:rPr>
              <w:t>All three Apex classes Active; modified 2026-09-02 21:43:16 UTC.</w:t>
            </w:r>
          </w:p>
        </w:tc>
      </w:tr>
    </w:tbl>
    <w:p>
      <w:pPr>
        <w:spacing w:after="0"/>
      </w:pPr>
    </w:p>
    <w:p>
      <w:pPr>
        <w:spacing w:after="0"/>
      </w:pPr>
      <w:r>
        <w:br w:type="page"/>
      </w:r>
    </w:p>
    <w:p>
      <w:pPr>
        <w:pStyle w:val="Heading1"/>
      </w:pPr>
      <w:r>
        <w:t>5. Deployment Scope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5580"/>
        <w:gridCol w:w="1680"/>
      </w:tblGrid>
      <w:tr>
        <w:trPr>
          <w:tblHeader w:val="true"/>
        </w:trPr>
        <w:tc>
          <w:tcPr>
            <w:tcW w:type="dxa" w:w="2100"/>
            <w:vAlign w:val="center"/>
            <w:tcMar>
              <w:top w:w="80" w:type="dxa"/>
              <w:start w:w="120" w:type="dxa"/>
              <w:bottom w:w="80" w:type="dxa"/>
              <w:end w:w="120" w:type="dxa"/>
            </w:tcMar>
            <w:shd w:fill="F2F4F7" w:val="clear"/>
          </w:tcPr>
          <w:p>
            <w:pPr>
              <w:spacing w:before="0" w:after="0"/>
            </w:pPr>
            <w:r>
              <w:rPr>
                <w:rFonts w:ascii="Calibri" w:hAnsi="Calibri"/>
                <w:b/>
                <w:color w:val="0B2545"/>
                <w:sz w:val="19"/>
              </w:rPr>
              <w:t>Component type</w:t>
            </w:r>
          </w:p>
        </w:tc>
        <w:tc>
          <w:tcPr>
            <w:tcW w:type="dxa" w:w="5580"/>
            <w:vAlign w:val="center"/>
            <w:tcMar>
              <w:top w:w="80" w:type="dxa"/>
              <w:start w:w="120" w:type="dxa"/>
              <w:bottom w:w="80" w:type="dxa"/>
              <w:end w:w="120" w:type="dxa"/>
            </w:tcMar>
            <w:shd w:fill="F2F4F7" w:val="clear"/>
          </w:tcPr>
          <w:p>
            <w:pPr>
              <w:spacing w:before="0" w:after="0"/>
            </w:pPr>
            <w:r>
              <w:rPr>
                <w:rFonts w:ascii="Calibri" w:hAnsi="Calibri"/>
                <w:b/>
                <w:color w:val="0B2545"/>
                <w:sz w:val="19"/>
              </w:rPr>
              <w:t>API name</w:t>
            </w:r>
          </w:p>
        </w:tc>
        <w:tc>
          <w:tcPr>
            <w:tcW w:type="dxa" w:w="1680"/>
            <w:vAlign w:val="center"/>
            <w:tcMar>
              <w:top w:w="80" w:type="dxa"/>
              <w:start w:w="120" w:type="dxa"/>
              <w:bottom w:w="80" w:type="dxa"/>
              <w:end w:w="120" w:type="dxa"/>
            </w:tcMar>
            <w:shd w:fill="F2F4F7" w:val="clear"/>
          </w:tcPr>
          <w:p>
            <w:pPr>
              <w:spacing w:before="0" w:after="0"/>
            </w:pPr>
            <w:r>
              <w:rPr>
                <w:rFonts w:ascii="Calibri" w:hAnsi="Calibri"/>
                <w:b/>
                <w:color w:val="0B2545"/>
                <w:sz w:val="19"/>
              </w:rPr>
              <w:t>State</w:t>
            </w:r>
          </w:p>
        </w:tc>
      </w:tr>
      <w:tr>
        <w:tc>
          <w:tcPr>
            <w:tcW w:type="dxa" w:w="2100"/>
          </w:tcPr>
          <w:p>
            <w:pPr>
              <w:spacing w:before="0" w:after="0" w:line="252" w:lineRule="auto"/>
            </w:pPr>
            <w:r>
              <w:rPr>
                <w:rFonts w:ascii="Calibri" w:hAnsi="Calibri"/>
                <w:b w:val="0"/>
                <w:color w:val="222222"/>
                <w:sz w:val="19"/>
              </w:rPr>
              <w:t>Apex Class</w:t>
            </w:r>
          </w:p>
        </w:tc>
        <w:tc>
          <w:tcPr>
            <w:tcW w:type="dxa" w:w="5580"/>
          </w:tcPr>
          <w:p>
            <w:pPr>
              <w:spacing w:before="0" w:after="0" w:line="252" w:lineRule="auto"/>
            </w:pPr>
            <w:r>
              <w:rPr>
                <w:rFonts w:ascii="Calibri" w:hAnsi="Calibri"/>
                <w:b w:val="0"/>
                <w:color w:val="222222"/>
                <w:sz w:val="19"/>
              </w:rPr>
              <w:t>cGoogleAppAuthenticationWithSalesforce</w:t>
            </w:r>
          </w:p>
        </w:tc>
        <w:tc>
          <w:tcPr>
            <w:tcW w:type="dxa" w:w="1680"/>
          </w:tcPr>
          <w:p>
            <w:pPr>
              <w:spacing w:before="0" w:after="0" w:line="252" w:lineRule="auto"/>
            </w:pPr>
            <w:r>
              <w:rPr>
                <w:rFonts w:ascii="Calibri" w:hAnsi="Calibri"/>
                <w:b/>
                <w:color w:val="1F6D4A"/>
                <w:sz w:val="19"/>
              </w:rPr>
              <w:t>Active - Modified</w:t>
            </w:r>
          </w:p>
        </w:tc>
      </w:tr>
      <w:tr>
        <w:tc>
          <w:tcPr>
            <w:tcW w:type="dxa" w:w="2100"/>
          </w:tcPr>
          <w:p>
            <w:pPr>
              <w:spacing w:before="0" w:after="0" w:line="252" w:lineRule="auto"/>
            </w:pPr>
            <w:r>
              <w:rPr>
                <w:rFonts w:ascii="Calibri" w:hAnsi="Calibri"/>
                <w:b w:val="0"/>
                <w:color w:val="222222"/>
                <w:sz w:val="19"/>
              </w:rPr>
              <w:t>Apex Class</w:t>
            </w:r>
          </w:p>
        </w:tc>
        <w:tc>
          <w:tcPr>
            <w:tcW w:type="dxa" w:w="5580"/>
          </w:tcPr>
          <w:p>
            <w:pPr>
              <w:spacing w:before="0" w:after="0" w:line="252" w:lineRule="auto"/>
            </w:pPr>
            <w:r>
              <w:rPr>
                <w:rFonts w:ascii="Calibri" w:hAnsi="Calibri"/>
                <w:b w:val="0"/>
                <w:color w:val="222222"/>
                <w:sz w:val="19"/>
              </w:rPr>
              <w:t>cAuthURIForEval</w:t>
            </w:r>
          </w:p>
        </w:tc>
        <w:tc>
          <w:tcPr>
            <w:tcW w:type="dxa" w:w="1680"/>
          </w:tcPr>
          <w:p>
            <w:pPr>
              <w:spacing w:before="0" w:after="0" w:line="252" w:lineRule="auto"/>
            </w:pPr>
            <w:r>
              <w:rPr>
                <w:rFonts w:ascii="Calibri" w:hAnsi="Calibri"/>
                <w:b/>
                <w:color w:val="1F6D4A"/>
                <w:sz w:val="19"/>
              </w:rPr>
              <w:t>Active - Modified</w:t>
            </w:r>
          </w:p>
        </w:tc>
      </w:tr>
      <w:tr>
        <w:tc>
          <w:tcPr>
            <w:tcW w:type="dxa" w:w="2100"/>
          </w:tcPr>
          <w:p>
            <w:pPr>
              <w:spacing w:before="0" w:after="0" w:line="252" w:lineRule="auto"/>
            </w:pPr>
            <w:r>
              <w:rPr>
                <w:rFonts w:ascii="Calibri" w:hAnsi="Calibri"/>
                <w:b w:val="0"/>
                <w:color w:val="222222"/>
                <w:sz w:val="19"/>
              </w:rPr>
              <w:t>Apex Test</w:t>
            </w:r>
          </w:p>
        </w:tc>
        <w:tc>
          <w:tcPr>
            <w:tcW w:type="dxa" w:w="5580"/>
          </w:tcPr>
          <w:p>
            <w:pPr>
              <w:spacing w:before="0" w:after="0" w:line="252" w:lineRule="auto"/>
            </w:pPr>
            <w:r>
              <w:rPr>
                <w:rFonts w:ascii="Calibri" w:hAnsi="Calibri"/>
                <w:b w:val="0"/>
                <w:color w:val="222222"/>
                <w:sz w:val="19"/>
              </w:rPr>
              <w:t>GoogleAuthTestClass</w:t>
            </w:r>
          </w:p>
        </w:tc>
        <w:tc>
          <w:tcPr>
            <w:tcW w:type="dxa" w:w="1680"/>
          </w:tcPr>
          <w:p>
            <w:pPr>
              <w:spacing w:before="0" w:after="0" w:line="252" w:lineRule="auto"/>
            </w:pPr>
            <w:r>
              <w:rPr>
                <w:rFonts w:ascii="Calibri" w:hAnsi="Calibri"/>
                <w:b/>
                <w:color w:val="1F6D4A"/>
                <w:sz w:val="19"/>
              </w:rPr>
              <w:t>Active - Regression</w:t>
            </w:r>
          </w:p>
        </w:tc>
      </w:tr>
    </w:tbl>
    <w:p>
      <w:pPr>
        <w:spacing w:after="0"/>
      </w:pPr>
    </w:p>
    <w:p>
      <w:pPr>
        <w:keepLines/>
      </w:pPr>
      <w:r>
        <w:rPr>
          <w:rFonts w:ascii="Calibri" w:hAnsi="Calibri"/>
          <w:b/>
          <w:color w:val="0B2545"/>
        </w:rPr>
        <w:t xml:space="preserve">Production safety: </w:t>
      </w:r>
      <w:r>
        <w:rPr>
          <w:rFonts w:ascii="Calibri" w:hAnsi="Calibri"/>
          <w:color w:val="222222"/>
        </w:rPr>
        <w:t>Only DevDO was changed. No Production metadata, Production data, or Production case status was modified.</w:t>
      </w:r>
    </w:p>
    <w:p>
      <w:pPr>
        <w:keepLines/>
      </w:pPr>
      <w:r>
        <w:rPr>
          <w:rFonts w:ascii="Calibri" w:hAnsi="Calibri"/>
          <w:b/>
          <w:color w:val="0B2545"/>
        </w:rPr>
        <w:t xml:space="preserve">Change set status: </w:t>
      </w:r>
      <w:r>
        <w:rPr>
          <w:rFonts w:ascii="Calibri" w:hAnsi="Calibri"/>
          <w:color w:val="222222"/>
        </w:rPr>
        <w:t>A story-specific outbound change set has not yet been created or uploaded for this fix.</w:t>
      </w:r>
    </w:p>
    <w:p>
      <w:pPr>
        <w:pStyle w:val="Heading1"/>
      </w:pPr>
      <w:r>
        <w:t>6. UAT Acceptance and Closure Gate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80"/>
        <w:gridCol w:w="1740"/>
        <w:gridCol w:w="4440"/>
      </w:tblGrid>
      <w:tr>
        <w:trPr>
          <w:tblHeader w:val="true"/>
        </w:trPr>
        <w:tc>
          <w:tcPr>
            <w:tcW w:type="dxa" w:w="3180"/>
            <w:vAlign w:val="center"/>
            <w:tcMar>
              <w:top w:w="80" w:type="dxa"/>
              <w:start w:w="120" w:type="dxa"/>
              <w:bottom w:w="80" w:type="dxa"/>
              <w:end w:w="120" w:type="dxa"/>
            </w:tcMar>
            <w:shd w:fill="F2F4F7" w:val="clear"/>
          </w:tcPr>
          <w:p>
            <w:pPr>
              <w:spacing w:before="0" w:after="0"/>
            </w:pPr>
            <w:r>
              <w:rPr>
                <w:rFonts w:ascii="Calibri" w:hAnsi="Calibri"/>
                <w:b/>
                <w:color w:val="0B2545"/>
                <w:sz w:val="19"/>
              </w:rPr>
              <w:t>Gate</w:t>
            </w:r>
          </w:p>
        </w:tc>
        <w:tc>
          <w:tcPr>
            <w:tcW w:type="dxa" w:w="1740"/>
            <w:vAlign w:val="center"/>
            <w:tcMar>
              <w:top w:w="80" w:type="dxa"/>
              <w:start w:w="120" w:type="dxa"/>
              <w:bottom w:w="80" w:type="dxa"/>
              <w:end w:w="120" w:type="dxa"/>
            </w:tcMar>
            <w:shd w:fill="F2F4F7" w:val="clear"/>
          </w:tcPr>
          <w:p>
            <w:pPr>
              <w:spacing w:before="0" w:after="0"/>
            </w:pPr>
            <w:r>
              <w:rPr>
                <w:rFonts w:ascii="Calibri" w:hAnsi="Calibri"/>
                <w:b/>
                <w:color w:val="0B2545"/>
                <w:sz w:val="19"/>
              </w:rPr>
              <w:t>Status</w:t>
            </w:r>
          </w:p>
        </w:tc>
        <w:tc>
          <w:tcPr>
            <w:tcW w:type="dxa" w:w="4440"/>
            <w:vAlign w:val="center"/>
            <w:tcMar>
              <w:top w:w="80" w:type="dxa"/>
              <w:start w:w="120" w:type="dxa"/>
              <w:bottom w:w="80" w:type="dxa"/>
              <w:end w:w="120" w:type="dxa"/>
            </w:tcMar>
            <w:shd w:fill="F2F4F7" w:val="clear"/>
          </w:tcPr>
          <w:p>
            <w:pPr>
              <w:spacing w:before="0" w:after="0"/>
            </w:pPr>
            <w:r>
              <w:rPr>
                <w:rFonts w:ascii="Calibri" w:hAnsi="Calibri"/>
                <w:b/>
                <w:color w:val="0B2545"/>
                <w:sz w:val="19"/>
              </w:rPr>
              <w:t>Required evidence</w:t>
            </w:r>
          </w:p>
        </w:tc>
      </w:tr>
      <w:tr>
        <w:tc>
          <w:tcPr>
            <w:tcW w:type="dxa" w:w="3180"/>
          </w:tcPr>
          <w:p>
            <w:pPr>
              <w:spacing w:before="0" w:after="0" w:line="252" w:lineRule="auto"/>
            </w:pPr>
            <w:r>
              <w:rPr>
                <w:rFonts w:ascii="Calibri" w:hAnsi="Calibri"/>
                <w:b w:val="0"/>
                <w:color w:val="222222"/>
                <w:sz w:val="19"/>
              </w:rPr>
              <w:t>DevDO implementation deployed</w:t>
            </w:r>
          </w:p>
        </w:tc>
        <w:tc>
          <w:tcPr>
            <w:tcW w:type="dxa" w:w="1740"/>
          </w:tcPr>
          <w:p>
            <w:pPr>
              <w:spacing w:before="0" w:after="0" w:line="252" w:lineRule="auto"/>
            </w:pPr>
            <w:r>
              <w:rPr>
                <w:rFonts w:ascii="Calibri" w:hAnsi="Calibri"/>
                <w:b/>
                <w:color w:val="1F6D4A"/>
                <w:sz w:val="19"/>
              </w:rPr>
              <w:t>YES</w:t>
            </w:r>
          </w:p>
        </w:tc>
        <w:tc>
          <w:tcPr>
            <w:tcW w:type="dxa" w:w="4440"/>
          </w:tcPr>
          <w:p>
            <w:pPr>
              <w:spacing w:before="0" w:after="0" w:line="252" w:lineRule="auto"/>
            </w:pPr>
            <w:r>
              <w:rPr>
                <w:rFonts w:ascii="Calibri" w:hAnsi="Calibri"/>
                <w:b w:val="0"/>
                <w:color w:val="222222"/>
                <w:sz w:val="19"/>
              </w:rPr>
              <w:t>Deployment 0AfiK0000000iPFSAY</w:t>
            </w:r>
          </w:p>
        </w:tc>
      </w:tr>
      <w:tr>
        <w:tc>
          <w:tcPr>
            <w:tcW w:type="dxa" w:w="3180"/>
          </w:tcPr>
          <w:p>
            <w:pPr>
              <w:spacing w:before="0" w:after="0" w:line="252" w:lineRule="auto"/>
            </w:pPr>
            <w:r>
              <w:rPr>
                <w:rFonts w:ascii="Calibri" w:hAnsi="Calibri"/>
                <w:b w:val="0"/>
                <w:color w:val="222222"/>
                <w:sz w:val="19"/>
              </w:rPr>
              <w:t>Automated regression passed</w:t>
            </w:r>
          </w:p>
        </w:tc>
        <w:tc>
          <w:tcPr>
            <w:tcW w:type="dxa" w:w="1740"/>
          </w:tcPr>
          <w:p>
            <w:pPr>
              <w:spacing w:before="0" w:after="0" w:line="252" w:lineRule="auto"/>
            </w:pPr>
            <w:r>
              <w:rPr>
                <w:rFonts w:ascii="Calibri" w:hAnsi="Calibri"/>
                <w:b/>
                <w:color w:val="1F6D4A"/>
                <w:sz w:val="19"/>
              </w:rPr>
              <w:t>YES</w:t>
            </w:r>
          </w:p>
        </w:tc>
        <w:tc>
          <w:tcPr>
            <w:tcW w:type="dxa" w:w="4440"/>
          </w:tcPr>
          <w:p>
            <w:pPr>
              <w:spacing w:before="0" w:after="0" w:line="252" w:lineRule="auto"/>
            </w:pPr>
            <w:r>
              <w:rPr>
                <w:rFonts w:ascii="Calibri" w:hAnsi="Calibri"/>
                <w:b w:val="0"/>
                <w:color w:val="222222"/>
                <w:sz w:val="19"/>
              </w:rPr>
              <w:t>Test run 707iK000000793S</w:t>
            </w:r>
          </w:p>
        </w:tc>
      </w:tr>
      <w:tr>
        <w:tc>
          <w:tcPr>
            <w:tcW w:type="dxa" w:w="3180"/>
          </w:tcPr>
          <w:p>
            <w:pPr>
              <w:spacing w:before="0" w:after="0" w:line="252" w:lineRule="auto"/>
            </w:pPr>
            <w:r>
              <w:rPr>
                <w:rFonts w:ascii="Calibri" w:hAnsi="Calibri"/>
                <w:b w:val="0"/>
                <w:color w:val="222222"/>
                <w:sz w:val="19"/>
              </w:rPr>
              <w:t>Manual DevDO Google OAuth test</w:t>
            </w:r>
          </w:p>
        </w:tc>
        <w:tc>
          <w:tcPr>
            <w:tcW w:type="dxa" w:w="1740"/>
          </w:tcPr>
          <w:p>
            <w:pPr>
              <w:spacing w:before="0" w:after="0" w:line="252" w:lineRule="auto"/>
            </w:pPr>
            <w:r>
              <w:rPr>
                <w:rFonts w:ascii="Calibri" w:hAnsi="Calibri"/>
                <w:b/>
                <w:color w:val="7A5A00"/>
                <w:sz w:val="19"/>
              </w:rPr>
              <w:t>PENDING</w:t>
            </w:r>
          </w:p>
        </w:tc>
        <w:tc>
          <w:tcPr>
            <w:tcW w:type="dxa" w:w="4440"/>
          </w:tcPr>
          <w:p>
            <w:pPr>
              <w:spacing w:before="0" w:after="0" w:line="252" w:lineRule="auto"/>
            </w:pPr>
            <w:r>
              <w:rPr>
                <w:rFonts w:ascii="Calibri" w:hAnsi="Calibri"/>
                <w:b w:val="0"/>
                <w:color w:val="222222"/>
                <w:sz w:val="19"/>
              </w:rPr>
              <w:t>Tester confirms correct callback and image mapping</w:t>
            </w:r>
          </w:p>
        </w:tc>
      </w:tr>
      <w:tr>
        <w:tc>
          <w:tcPr>
            <w:tcW w:type="dxa" w:w="3180"/>
          </w:tcPr>
          <w:p>
            <w:pPr>
              <w:spacing w:before="0" w:after="0" w:line="252" w:lineRule="auto"/>
            </w:pPr>
            <w:r>
              <w:rPr>
                <w:rFonts w:ascii="Calibri" w:hAnsi="Calibri"/>
                <w:b w:val="0"/>
                <w:color w:val="222222"/>
                <w:sz w:val="19"/>
              </w:rPr>
              <w:t>Competing-Evaluation UAT</w:t>
            </w:r>
          </w:p>
        </w:tc>
        <w:tc>
          <w:tcPr>
            <w:tcW w:type="dxa" w:w="1740"/>
          </w:tcPr>
          <w:p>
            <w:pPr>
              <w:spacing w:before="0" w:after="0" w:line="252" w:lineRule="auto"/>
            </w:pPr>
            <w:r>
              <w:rPr>
                <w:rFonts w:ascii="Calibri" w:hAnsi="Calibri"/>
                <w:b/>
                <w:color w:val="7A5A00"/>
                <w:sz w:val="19"/>
              </w:rPr>
              <w:t>PENDING</w:t>
            </w:r>
          </w:p>
        </w:tc>
        <w:tc>
          <w:tcPr>
            <w:tcW w:type="dxa" w:w="4440"/>
          </w:tcPr>
          <w:p>
            <w:pPr>
              <w:spacing w:before="0" w:after="0" w:line="252" w:lineRule="auto"/>
            </w:pPr>
            <w:r>
              <w:rPr>
                <w:rFonts w:ascii="Calibri" w:hAnsi="Calibri"/>
                <w:b w:val="0"/>
                <w:color w:val="222222"/>
                <w:sz w:val="19"/>
              </w:rPr>
              <w:t>Evaluation B remains unchanged</w:t>
            </w:r>
          </w:p>
        </w:tc>
      </w:tr>
      <w:tr>
        <w:tc>
          <w:tcPr>
            <w:tcW w:type="dxa" w:w="3180"/>
          </w:tcPr>
          <w:p>
            <w:pPr>
              <w:spacing w:before="0" w:after="0" w:line="252" w:lineRule="auto"/>
            </w:pPr>
            <w:r>
              <w:rPr>
                <w:rFonts w:ascii="Calibri" w:hAnsi="Calibri"/>
                <w:b w:val="0"/>
                <w:color w:val="222222"/>
                <w:sz w:val="19"/>
              </w:rPr>
              <w:t>Outbound change set</w:t>
            </w:r>
          </w:p>
        </w:tc>
        <w:tc>
          <w:tcPr>
            <w:tcW w:type="dxa" w:w="1740"/>
          </w:tcPr>
          <w:p>
            <w:pPr>
              <w:spacing w:before="0" w:after="0" w:line="252" w:lineRule="auto"/>
            </w:pPr>
            <w:r>
              <w:rPr>
                <w:rFonts w:ascii="Calibri" w:hAnsi="Calibri"/>
                <w:b/>
                <w:color w:val="7A5A00"/>
                <w:sz w:val="19"/>
              </w:rPr>
              <w:t>NO - PENDING</w:t>
            </w:r>
          </w:p>
        </w:tc>
        <w:tc>
          <w:tcPr>
            <w:tcW w:type="dxa" w:w="4440"/>
          </w:tcPr>
          <w:p>
            <w:pPr>
              <w:spacing w:before="0" w:after="0" w:line="252" w:lineRule="auto"/>
            </w:pPr>
            <w:r>
              <w:rPr>
                <w:rFonts w:ascii="Calibri" w:hAnsi="Calibri"/>
                <w:b w:val="0"/>
                <w:color w:val="222222"/>
                <w:sz w:val="19"/>
              </w:rPr>
              <w:t>Create only after UAT acceptance</w:t>
            </w:r>
          </w:p>
        </w:tc>
      </w:tr>
      <w:tr>
        <w:tc>
          <w:tcPr>
            <w:tcW w:type="dxa" w:w="3180"/>
          </w:tcPr>
          <w:p>
            <w:pPr>
              <w:spacing w:before="0" w:after="0" w:line="252" w:lineRule="auto"/>
            </w:pPr>
            <w:r>
              <w:rPr>
                <w:rFonts w:ascii="Calibri" w:hAnsi="Calibri"/>
                <w:b w:val="0"/>
                <w:color w:val="222222"/>
                <w:sz w:val="19"/>
              </w:rPr>
              <w:t>Production deployment</w:t>
            </w:r>
          </w:p>
        </w:tc>
        <w:tc>
          <w:tcPr>
            <w:tcW w:type="dxa" w:w="1740"/>
          </w:tcPr>
          <w:p>
            <w:pPr>
              <w:spacing w:before="0" w:after="0" w:line="252" w:lineRule="auto"/>
            </w:pPr>
            <w:r>
              <w:rPr>
                <w:rFonts w:ascii="Calibri" w:hAnsi="Calibri"/>
                <w:b/>
                <w:color w:val="7A5A00"/>
                <w:sz w:val="19"/>
              </w:rPr>
              <w:t>NO - PENDING</w:t>
            </w:r>
          </w:p>
        </w:tc>
        <w:tc>
          <w:tcPr>
            <w:tcW w:type="dxa" w:w="4440"/>
          </w:tcPr>
          <w:p>
            <w:pPr>
              <w:spacing w:before="0" w:after="0" w:line="252" w:lineRule="auto"/>
            </w:pPr>
            <w:r>
              <w:rPr>
                <w:rFonts w:ascii="Calibri" w:hAnsi="Calibri"/>
                <w:b w:val="0"/>
                <w:color w:val="222222"/>
                <w:sz w:val="19"/>
              </w:rPr>
              <w:t>Validate and deploy after approval</w:t>
            </w:r>
          </w:p>
        </w:tc>
      </w:tr>
      <w:tr>
        <w:tc>
          <w:tcPr>
            <w:tcW w:type="dxa" w:w="3180"/>
          </w:tcPr>
          <w:p>
            <w:pPr>
              <w:spacing w:before="0" w:after="0" w:line="252" w:lineRule="auto"/>
            </w:pPr>
            <w:r>
              <w:rPr>
                <w:rFonts w:ascii="Calibri" w:hAnsi="Calibri"/>
                <w:b w:val="0"/>
                <w:color w:val="222222"/>
                <w:sz w:val="19"/>
              </w:rPr>
              <w:t>Close Production cases</w:t>
            </w:r>
          </w:p>
        </w:tc>
        <w:tc>
          <w:tcPr>
            <w:tcW w:type="dxa" w:w="1740"/>
          </w:tcPr>
          <w:p>
            <w:pPr>
              <w:spacing w:before="0" w:after="0" w:line="252" w:lineRule="auto"/>
            </w:pPr>
            <w:r>
              <w:rPr>
                <w:rFonts w:ascii="Calibri" w:hAnsi="Calibri"/>
                <w:b/>
                <w:color w:val="7A5A00"/>
                <w:sz w:val="19"/>
              </w:rPr>
              <w:t>HOLD</w:t>
            </w:r>
          </w:p>
        </w:tc>
        <w:tc>
          <w:tcPr>
            <w:tcW w:type="dxa" w:w="4440"/>
          </w:tcPr>
          <w:p>
            <w:pPr>
              <w:spacing w:before="0" w:after="0" w:line="252" w:lineRule="auto"/>
            </w:pPr>
            <w:r>
              <w:rPr>
                <w:rFonts w:ascii="Calibri" w:hAnsi="Calibri"/>
                <w:b w:val="0"/>
                <w:color w:val="222222"/>
                <w:sz w:val="19"/>
              </w:rPr>
              <w:t>Close after Production smoke-test evidence</w:t>
            </w:r>
          </w:p>
        </w:tc>
      </w:tr>
    </w:tbl>
    <w:p>
      <w:pPr>
        <w:spacing w:after="0"/>
      </w:pPr>
    </w:p>
    <w:p>
      <w:pPr>
        <w:spacing w:before="160" w:after="200" w:line="264" w:lineRule="auto"/>
        <w:ind w:left="173" w:right="72"/>
        <w:shd w:fill="F4F6F9"/>
        <w:pBdr>
          <w:left w:val="single" w:sz="18" w:space="8" w:color="7A5A00"/>
        </w:pBdr>
      </w:pPr>
      <w:r>
        <w:rPr>
          <w:rFonts w:ascii="Calibri" w:hAnsi="Calibri"/>
          <w:b/>
          <w:color w:val="7A5A00"/>
          <w:sz w:val="21"/>
        </w:rPr>
        <w:t xml:space="preserve">Message to tester: </w:t>
      </w:r>
      <w:r>
        <w:rPr>
          <w:rFonts w:ascii="Calibri" w:hAnsi="Calibri"/>
          <w:color w:val="222222"/>
          <w:sz w:val="21"/>
        </w:rPr>
        <w:t>The Evaluation Google Drive authentication fix for cases 00010710 and 00010716 is now in DevDO and the automated tests passed. Please follow Section 3 and let us know whether Salesforce returns to the Evaluation where you started, leaves the second Evaluation unchanged, and completes without the null-reference error.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6B7280"/>
        <w:sz w:val="17"/>
      </w:rPr>
      <w:t>PROBO MEDICAL | SALESFORCE</w:t>
    </w:r>
    <w:r>
      <w:rPr>
        <w:rFonts w:ascii="Calibri" w:hAnsi="Calibri"/>
        <w:b/>
        <w:color w:val="6B7280"/>
        <w:sz w:val="17"/>
      </w:rPr>
      <w:tab/>
      <w:t>CASE 00010716 | DEVDO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00010716 Evaluation Google Drive Authentication AutoFast Review</dc:title>
  <dc:subject>DevDO implementation, validation, and UAT reproduction guide</dc:subject>
  <dc:creator>Probo Medical Salesforce Team</dc:creator>
  <cp:keywords>Salesforce, DevDO, AutoFast, Google Drive, OAuth, Evaluation, UAT</cp:keywords>
  <dc:description>generated by python-docx</dc:description>
  <cp:lastModifiedBy/>
  <cp:revision>1</cp:revision>
  <dcterms:created xsi:type="dcterms:W3CDTF">2013-12-23T23:15:00Z</dcterms:created>
  <dcterms:modified xsi:type="dcterms:W3CDTF">2013-12-23T23:15:00Z</dcterms:modified>
  <cp:category/>
</cp:coreProperties>
</file>