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40" w:line="240" w:lineRule="auto"/>
      </w:pPr>
      <w:r>
        <w:rPr>
          <w:rFonts w:ascii="Arial" w:hAnsi="Arial"/>
          <w:b/>
          <w:i w:val="0"/>
          <w:color w:val="2E74B5"/>
          <w:sz w:val="20"/>
        </w:rPr>
        <w:t>ARCHITECT REVIEW</w:t>
      </w:r>
    </w:p>
    <w:p>
      <w:pPr>
        <w:keepNext/>
        <w:spacing w:before="0" w:after="80" w:line="240" w:lineRule="auto"/>
      </w:pPr>
      <w:r>
        <w:rPr>
          <w:rFonts w:ascii="Arial" w:hAnsi="Arial"/>
          <w:b/>
          <w:i w:val="0"/>
          <w:color w:val="0B2545"/>
          <w:sz w:val="50"/>
        </w:rPr>
        <w:t>SALDEV-1415 | Stepped-Up Pricing Date Automation</w:t>
      </w:r>
    </w:p>
    <w:p>
      <w:pPr>
        <w:keepNext/>
        <w:spacing w:before="0" w:after="320" w:line="240" w:lineRule="auto"/>
      </w:pPr>
      <w:r>
        <w:rPr>
          <w:rFonts w:ascii="Arial" w:hAnsi="Arial"/>
          <w:b w:val="0"/>
          <w:i w:val="0"/>
          <w:color w:val="5B6777"/>
          <w:sz w:val="26"/>
        </w:rPr>
        <w:t>FlywirePartial sandbox | Read-only implementation and release-readiness assessment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7F1FB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9"/>
              </w:rPr>
              <w:t>Environment</w:t>
            </w:r>
          </w:p>
        </w:tc>
        <w:tc>
          <w:tcPr>
            <w:tcW w:type="dxa" w:w="74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202B3C"/>
                <w:sz w:val="18"/>
              </w:rPr>
              <w:t>FlywirePartial | Org 00DhG0000000jOXUAY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7F1FB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 date</w:t>
            </w:r>
          </w:p>
        </w:tc>
        <w:tc>
          <w:tcPr>
            <w:tcW w:type="dxa" w:w="74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202B3C"/>
                <w:sz w:val="18"/>
              </w:rPr>
              <w:t>26 August 2026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7F1FB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  <w:tc>
          <w:tcPr>
            <w:tcW w:type="dxa" w:w="74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202B3C"/>
                <w:sz w:val="18"/>
              </w:rPr>
              <w:t>Scoped metadata retrieval | SOQL and schema read-back | focused Apex tests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7F1FB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9"/>
              </w:rPr>
              <w:t>Decision</w:t>
            </w:r>
          </w:p>
        </w:tc>
        <w:tc>
          <w:tcPr>
            <w:tcW w:type="dxa" w:w="74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202B3C"/>
                <w:sz w:val="18"/>
              </w:rPr>
              <w:t>Changes Requested - not ready as the full original SALDEV-1415 scope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7F1FB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9"/>
              </w:rPr>
              <w:t>Boundary</w:t>
            </w:r>
          </w:p>
        </w:tc>
        <w:tc>
          <w:tcPr>
            <w:tcW w:type="dxa" w:w="74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 w:val="0"/>
                <w:i w:val="0"/>
                <w:color w:val="202B3C"/>
                <w:sz w:val="18"/>
              </w:rPr>
              <w:t>No record, metadata, assignment, deployment, activation, or Production changes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CE8E8"/>
          </w:tcPr>
          <w:p>
            <w:pPr>
              <w:keepNext w:val="0"/>
              <w:spacing w:before="0" w:after="60" w:line="240" w:lineRule="auto"/>
            </w:pPr>
            <w:r>
              <w:rPr>
                <w:rFonts w:ascii="Arial" w:hAnsi="Arial"/>
                <w:b/>
                <w:i w:val="0"/>
                <w:color w:val="D32F2F"/>
                <w:sz w:val="19"/>
              </w:rPr>
              <w:t>ARCHITECT DECISION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Do not promote as complete SALDEV-1415 yet. The active Partial implementation validates New Business date automation, but Renewal is intentionally bypassed and several original acceptance paths remain unproven.</w:t>
            </w:r>
          </w:p>
        </w:tc>
      </w:tr>
    </w:tbl>
    <w:p>
      <w:pPr>
        <w:keepNext w:val="0"/>
        <w:spacing w:before="0" w:after="0" w:line="254" w:lineRule="auto"/>
      </w:pPr>
    </w:p>
    <w:p>
      <w:pPr>
        <w:pStyle w:val="Heading1"/>
        <w:keepNext/>
        <w:spacing w:before="160" w:after="100" w:line="240" w:lineRule="auto"/>
      </w:pPr>
      <w:r>
        <w:t>Acceptance outcome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"/>
        <w:gridCol w:w="2150"/>
        <w:gridCol w:w="1450"/>
        <w:gridCol w:w="5260"/>
      </w:tblGrid>
      <w:tr>
        <w:trPr>
          <w:tblHeader w:val="true"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#</w:t>
            </w:r>
          </w:p>
        </w:tc>
        <w:tc>
          <w:tcPr>
            <w:tcW w:type="dxa" w:w="215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Scope</w:t>
            </w:r>
          </w:p>
        </w:tc>
        <w:tc>
          <w:tcPr>
            <w:tcW w:type="dxa" w:w="145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Result</w:t>
            </w:r>
          </w:p>
        </w:tc>
        <w:tc>
          <w:tcPr>
            <w:tcW w:type="dxa" w:w="5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1</w:t>
            </w:r>
          </w:p>
        </w:tc>
        <w:tc>
          <w:tcPr>
            <w:tcW w:type="dxa" w:w="215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New Business group dates</w:t>
            </w:r>
          </w:p>
        </w:tc>
        <w:tc>
          <w:tcPr>
            <w:tcW w:type="dxa" w:w="1450"/>
            <w:shd w:fill="E4F3EF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1856F"/>
                <w:sz w:val="17"/>
              </w:rPr>
              <w:t>Pass</w:t>
            </w:r>
          </w:p>
        </w:tc>
        <w:tc>
          <w:tcPr>
            <w:tcW w:type="dxa" w:w="5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Ramped groups start from the Quote start date and calculate whole-month end dates.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2</w:t>
            </w:r>
          </w:p>
        </w:tc>
        <w:tc>
          <w:tcPr>
            <w:tcW w:type="dxa" w:w="215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Continuous cascade</w:t>
            </w:r>
          </w:p>
        </w:tc>
        <w:tc>
          <w:tcPr>
            <w:tcW w:type="dxa" w:w="1450"/>
            <w:shd w:fill="E4F3EF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1856F"/>
                <w:sz w:val="17"/>
              </w:rPr>
              <w:t>Pass</w:t>
            </w:r>
          </w:p>
        </w:tc>
        <w:tc>
          <w:tcPr>
            <w:tcW w:type="dxa" w:w="5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Each subsequent ramped group starts one day after the prior end date; tests cover reallocation.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3</w:t>
            </w:r>
          </w:p>
        </w:tc>
        <w:tc>
          <w:tcPr>
            <w:tcW w:type="dxa" w:w="215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Grouped quote-line sync</w:t>
            </w:r>
          </w:p>
        </w:tc>
        <w:tc>
          <w:tcPr>
            <w:tcW w:type="dxa" w:w="1450"/>
            <w:shd w:fill="E4F3EF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1856F"/>
                <w:sz w:val="17"/>
              </w:rPr>
              <w:t>Pass</w:t>
            </w:r>
          </w:p>
        </w:tc>
        <w:tc>
          <w:tcPr>
            <w:tcW w:type="dxa" w:w="5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QuoteLineDateSyncTrigger stamps group start, end, and term onto grouped lines.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4</w:t>
            </w:r>
          </w:p>
        </w:tc>
        <w:tc>
          <w:tcPr>
            <w:tcW w:type="dxa" w:w="215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Read-only group drawer</w:t>
            </w:r>
          </w:p>
        </w:tc>
        <w:tc>
          <w:tcPr>
            <w:tcW w:type="dxa" w:w="1450"/>
            <w:shd w:fill="E4F3EF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1856F"/>
                <w:sz w:val="17"/>
              </w:rPr>
              <w:t>Pass</w:t>
            </w:r>
          </w:p>
        </w:tc>
        <w:tc>
          <w:tcPr>
            <w:tcW w:type="dxa" w:w="5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Formula dates replace editable managed dates in the CPQ Line Editor field set.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5</w:t>
            </w:r>
          </w:p>
        </w:tc>
        <w:tc>
          <w:tcPr>
            <w:tcW w:type="dxa" w:w="215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Term-total validation</w:t>
            </w:r>
          </w:p>
        </w:tc>
        <w:tc>
          <w:tcPr>
            <w:tcW w:type="dxa" w:w="1450"/>
            <w:shd w:fill="E4F3EF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1856F"/>
                <w:sz w:val="17"/>
              </w:rPr>
              <w:t>Pass</w:t>
            </w:r>
          </w:p>
        </w:tc>
        <w:tc>
          <w:tcPr>
            <w:tcW w:type="dxa" w:w="5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Under- and over-allocation tests pass; current messages differ from the ticket's requested text.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6</w:t>
            </w:r>
          </w:p>
        </w:tc>
        <w:tc>
          <w:tcPr>
            <w:tcW w:type="dxa" w:w="215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Renewal behavior</w:t>
            </w:r>
          </w:p>
        </w:tc>
        <w:tc>
          <w:tcPr>
            <w:tcW w:type="dxa" w:w="1450"/>
            <w:shd w:fill="FCE8E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D32F2F"/>
                <w:sz w:val="17"/>
              </w:rPr>
              <w:t>Fail</w:t>
            </w:r>
          </w:p>
        </w:tc>
        <w:tc>
          <w:tcPr>
            <w:tcW w:type="dxa" w:w="5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Current trigger and test deliberately bypass Renewal; original story text included Renewal.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7</w:t>
            </w:r>
          </w:p>
        </w:tc>
        <w:tc>
          <w:tcPr>
            <w:tcW w:type="dxa" w:w="215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Remaining runtime proof</w:t>
            </w:r>
          </w:p>
        </w:tc>
        <w:tc>
          <w:tcPr>
            <w:tcW w:type="dxa" w:w="1450"/>
            <w:shd w:fill="FFF4D6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B8750C"/>
                <w:sz w:val="17"/>
              </w:rPr>
              <w:t>Not run</w:t>
            </w:r>
          </w:p>
        </w:tc>
        <w:tc>
          <w:tcPr>
            <w:tcW w:type="dxa" w:w="5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Ungrouped-line full-term and Opportunity Contract Start Date cascade were not independently exercised.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100" w:line="240" w:lineRule="auto"/>
      </w:pPr>
      <w:r>
        <w:t>Solution and control path</w:t>
      </w:r>
    </w:p>
    <w:p>
      <w:pPr>
        <w:keepNext w:val="0"/>
        <w:spacing w:before="0" w:after="200" w:line="269" w:lineRule="auto"/>
      </w:pPr>
      <w:r>
        <w:rPr>
          <w:rFonts w:ascii="Arial" w:hAnsi="Arial"/>
          <w:b w:val="0"/>
          <w:i w:val="0"/>
          <w:color w:val="202B3C"/>
          <w:sz w:val="21"/>
        </w:rPr>
        <w:t>The implemented control path is Apex-backed: quote dates and terms drive ramped group periods, an asynchronous helper shifts sibling groups, and grouped quote lines inherit the resulting period. Read-only formula fields expose dates in QLE without inviting edits.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40"/>
        <w:gridCol w:w="2100"/>
        <w:gridCol w:w="240"/>
        <w:gridCol w:w="2100"/>
        <w:gridCol w:w="240"/>
        <w:gridCol w:w="2340"/>
      </w:tblGrid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7F1FB"/>
          </w:tcPr>
          <w:p>
            <w:pPr>
              <w:keepNext w:val="0"/>
              <w:spacing w:before="0" w:after="100" w:line="240" w:lineRule="auto"/>
            </w:pPr>
            <w:r>
              <w:rPr>
                <w:rFonts w:ascii="Arial" w:hAnsi="Arial"/>
                <w:b/>
                <w:i w:val="0"/>
                <w:color w:val="0B2545"/>
                <w:sz w:val="20"/>
              </w:rPr>
              <w:t>Quote inputs</w:t>
            </w:r>
          </w:p>
          <w:p>
            <w:pPr>
              <w:pStyle w:val="ListBullet"/>
              <w:keepNext w:val="0"/>
              <w:spacing w:before="0" w:after="40" w:line="240" w:lineRule="auto"/>
              <w:ind w:left="230" w:hanging="158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Start Date</w:t>
            </w:r>
          </w:p>
          <w:p>
            <w:pPr>
              <w:pStyle w:val="ListBullet"/>
              <w:keepNext w:val="0"/>
              <w:spacing w:before="0" w:after="40" w:line="240" w:lineRule="auto"/>
              <w:ind w:left="230" w:hanging="158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End Date / header term</w:t>
            </w:r>
          </w:p>
          <w:p>
            <w:pPr>
              <w:pStyle w:val="ListBullet"/>
              <w:keepNext w:val="0"/>
              <w:spacing w:before="0" w:after="40" w:line="240" w:lineRule="auto"/>
              <w:ind w:left="230" w:hanging="158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New Business gate</w:t>
            </w:r>
          </w:p>
        </w:tc>
        <w:tc>
          <w:tcPr>
            <w:tcW w:type="dxa" w:w="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Arial" w:hAnsi="Arial"/>
                <w:b/>
                <w:i w:val="0"/>
                <w:color w:val="2E74B5"/>
                <w:sz w:val="32"/>
              </w:rPr>
              <w:t>&gt;</w:t>
            </w:r>
          </w:p>
        </w:tc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4F3EF"/>
          </w:tcPr>
          <w:p>
            <w:pPr>
              <w:keepNext w:val="0"/>
              <w:spacing w:before="0" w:after="100" w:line="240" w:lineRule="auto"/>
            </w:pPr>
            <w:r>
              <w:rPr>
                <w:rFonts w:ascii="Arial" w:hAnsi="Arial"/>
                <w:b/>
                <w:i w:val="0"/>
                <w:color w:val="0B2545"/>
                <w:sz w:val="20"/>
              </w:rPr>
              <w:t>Group automation</w:t>
            </w:r>
          </w:p>
          <w:p>
            <w:pPr>
              <w:pStyle w:val="ListBullet"/>
              <w:keepNext w:val="0"/>
              <w:spacing w:before="0" w:after="40" w:line="240" w:lineRule="auto"/>
              <w:ind w:left="230" w:hanging="158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Sequential periods</w:t>
            </w:r>
          </w:p>
          <w:p>
            <w:pPr>
              <w:pStyle w:val="ListBullet"/>
              <w:keepNext w:val="0"/>
              <w:spacing w:before="0" w:after="40" w:line="240" w:lineRule="auto"/>
              <w:ind w:left="230" w:hanging="158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Sibling cascade</w:t>
            </w:r>
          </w:p>
          <w:p>
            <w:pPr>
              <w:pStyle w:val="ListBullet"/>
              <w:keepNext w:val="0"/>
              <w:spacing w:before="0" w:after="40" w:line="240" w:lineRule="auto"/>
              <w:ind w:left="230" w:hanging="158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Term-chain validation</w:t>
            </w:r>
          </w:p>
        </w:tc>
        <w:tc>
          <w:tcPr>
            <w:tcW w:type="dxa" w:w="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Arial" w:hAnsi="Arial"/>
                <w:b/>
                <w:i w:val="0"/>
                <w:color w:val="2E74B5"/>
                <w:sz w:val="32"/>
              </w:rPr>
              <w:t>&gt;</w:t>
            </w:r>
          </w:p>
        </w:tc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4F3EF"/>
          </w:tcPr>
          <w:p>
            <w:pPr>
              <w:keepNext w:val="0"/>
              <w:spacing w:before="0" w:after="100" w:line="240" w:lineRule="auto"/>
            </w:pPr>
            <w:r>
              <w:rPr>
                <w:rFonts w:ascii="Arial" w:hAnsi="Arial"/>
                <w:b/>
                <w:i w:val="0"/>
                <w:color w:val="0B2545"/>
                <w:sz w:val="20"/>
              </w:rPr>
              <w:t>Quote-line sync</w:t>
            </w:r>
          </w:p>
          <w:p>
            <w:pPr>
              <w:pStyle w:val="ListBullet"/>
              <w:keepNext w:val="0"/>
              <w:spacing w:before="0" w:after="40" w:line="240" w:lineRule="auto"/>
              <w:ind w:left="230" w:hanging="158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Start and end dates</w:t>
            </w:r>
          </w:p>
          <w:p>
            <w:pPr>
              <w:pStyle w:val="ListBullet"/>
              <w:keepNext w:val="0"/>
              <w:spacing w:before="0" w:after="40" w:line="240" w:lineRule="auto"/>
              <w:ind w:left="230" w:hanging="158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Subscription term</w:t>
            </w:r>
          </w:p>
          <w:p>
            <w:pPr>
              <w:pStyle w:val="ListBullet"/>
              <w:keepNext w:val="0"/>
              <w:spacing w:before="0" w:after="40" w:line="240" w:lineRule="auto"/>
              <w:ind w:left="230" w:hanging="158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Grouped lines only</w:t>
            </w:r>
          </w:p>
        </w:tc>
        <w:tc>
          <w:tcPr>
            <w:tcW w:type="dxa" w:w="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54" w:lineRule="auto"/>
              <w:jc w:val="center"/>
            </w:pPr>
            <w:r>
              <w:rPr>
                <w:rFonts w:ascii="Arial" w:hAnsi="Arial"/>
                <w:b/>
                <w:i w:val="0"/>
                <w:color w:val="2E74B5"/>
                <w:sz w:val="32"/>
              </w:rPr>
              <w:t>&gt;</w:t>
            </w:r>
          </w:p>
        </w:tc>
        <w:tc>
          <w:tcPr>
            <w:tcW w:type="dxa" w:w="23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4D6"/>
          </w:tcPr>
          <w:p>
            <w:pPr>
              <w:keepNext w:val="0"/>
              <w:spacing w:before="0" w:after="100" w:line="240" w:lineRule="auto"/>
            </w:pPr>
            <w:r>
              <w:rPr>
                <w:rFonts w:ascii="Arial" w:hAnsi="Arial"/>
                <w:b/>
                <w:i w:val="0"/>
                <w:color w:val="0B2545"/>
                <w:sz w:val="20"/>
              </w:rPr>
              <w:t>Release proof</w:t>
            </w:r>
          </w:p>
          <w:p>
            <w:pPr>
              <w:pStyle w:val="ListBullet"/>
              <w:keepNext w:val="0"/>
              <w:spacing w:before="0" w:after="40" w:line="240" w:lineRule="auto"/>
              <w:ind w:left="230" w:hanging="158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Focused check-only</w:t>
            </w:r>
          </w:p>
          <w:p>
            <w:pPr>
              <w:pStyle w:val="ListBullet"/>
              <w:keepNext w:val="0"/>
              <w:spacing w:before="0" w:after="40" w:line="240" w:lineRule="auto"/>
              <w:ind w:left="230" w:hanging="158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Runtime UAT</w:t>
            </w:r>
          </w:p>
          <w:p>
            <w:pPr>
              <w:pStyle w:val="ListBullet"/>
              <w:keepNext w:val="0"/>
              <w:spacing w:before="0" w:after="40" w:line="240" w:lineRule="auto"/>
              <w:ind w:left="230" w:hanging="158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Post-deploy read-back</w:t>
            </w:r>
          </w:p>
        </w:tc>
      </w:tr>
    </w:tbl>
    <w:p>
      <w:pPr>
        <w:keepNext w:val="0"/>
        <w:spacing w:before="120" w:after="160" w:line="254" w:lineRule="auto"/>
        <w:jc w:val="center"/>
      </w:pPr>
      <w:r>
        <w:rPr>
          <w:rFonts w:ascii="Arial" w:hAnsi="Arial"/>
          <w:b w:val="0"/>
          <w:i/>
          <w:color w:val="5B6777"/>
          <w:sz w:val="18"/>
        </w:rPr>
        <w:t>Figure 1. SALDEV-1415 stepped-up pricing date control path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7F1FB"/>
          </w:tcPr>
          <w:p>
            <w:pPr>
              <w:keepNext w:val="0"/>
              <w:spacing w:before="0" w:after="60" w:line="240" w:lineRule="auto"/>
            </w:pPr>
            <w:r>
              <w:rPr>
                <w:rFonts w:ascii="Arial" w:hAnsi="Arial"/>
                <w:b/>
                <w:i w:val="0"/>
                <w:color w:val="2E74B5"/>
                <w:sz w:val="19"/>
              </w:rPr>
              <w:t>DESIGN READING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1"/>
              </w:rPr>
              <w:t>Green paths are implemented and test-backed for New Business. Amber is the release evidence gate. Renewal remains a red scope decision until the story is formally narrowed or the trigger is extended.</w:t>
            </w:r>
          </w:p>
        </w:tc>
      </w:tr>
    </w:tbl>
    <w:p>
      <w:pPr>
        <w:keepNext w:val="0"/>
        <w:spacing w:before="0" w:after="0" w:line="254" w:lineRule="auto"/>
      </w:pPr>
    </w:p>
    <w:p>
      <w:pPr>
        <w:pStyle w:val="Heading2"/>
        <w:keepNext/>
        <w:spacing w:before="120" w:after="100" w:line="240" w:lineRule="auto"/>
      </w:pPr>
      <w:r>
        <w:t>Architecture observations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Observation</w:t>
            </w:r>
          </w:p>
        </w:tc>
        <w:tc>
          <w:tcPr>
            <w:tcW w:type="dxa" w:w="70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Architect reading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8"/>
              </w:rPr>
              <w:t>Recursion control</w:t>
            </w:r>
          </w:p>
        </w:tc>
        <w:tc>
          <w:tcPr>
            <w:tcW w:type="dxa" w:w="70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8"/>
              </w:rPr>
              <w:t>QuoteLineGroupAsyncHelper.isExecuting prevents the helper's sibling updates from re-entering the trigger.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8"/>
              </w:rPr>
              <w:t>Unused handler</w:t>
            </w:r>
          </w:p>
        </w:tc>
        <w:tc>
          <w:tcPr>
            <w:tcW w:type="dxa" w:w="70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8"/>
              </w:rPr>
              <w:t>QuoteLineGroupTriggerHandler contains only an isExecuting flag and is not referenced by the current retrieved trigger.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8"/>
              </w:rPr>
              <w:t>Validation key</w:t>
            </w:r>
          </w:p>
        </w:tc>
        <w:tc>
          <w:tcPr>
            <w:tcW w:type="dxa" w:w="70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8"/>
              </w:rPr>
              <w:t>Term totals are grouped by product-code chains with name/proximity fallbacks; this is more complex than a simple quote-wide sum.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8"/>
              </w:rPr>
              <w:t>UI control</w:t>
            </w:r>
          </w:p>
        </w:tc>
        <w:tc>
          <w:tcPr>
            <w:tcW w:type="dxa" w:w="70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8"/>
              </w:rPr>
              <w:t>Formula fields create a read-only experience; the code does not emit the ticket's manual-date-edit error message.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100" w:line="240" w:lineRule="auto"/>
      </w:pPr>
      <w:r>
        <w:t>Current implementation evidence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100"/>
        <w:gridCol w:w="1600"/>
        <w:gridCol w:w="2860"/>
      </w:tblGrid>
      <w:tr>
        <w:trPr>
          <w:tblHeader w:val="true"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Type</w:t>
            </w:r>
          </w:p>
        </w:tc>
        <w:tc>
          <w:tcPr>
            <w:tcW w:type="dxa" w:w="3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Component</w:t>
            </w:r>
          </w:p>
        </w:tc>
        <w:tc>
          <w:tcPr>
            <w:tcW w:type="dxa" w:w="16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State</w:t>
            </w:r>
          </w:p>
        </w:tc>
        <w:tc>
          <w:tcPr>
            <w:tcW w:type="dxa" w:w="2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Apex Trigger</w:t>
            </w:r>
          </w:p>
        </w:tc>
        <w:tc>
          <w:tcPr>
            <w:tcW w:type="dxa" w:w="3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QuoteLineGroupTrigger</w:t>
            </w:r>
          </w:p>
        </w:tc>
        <w:tc>
          <w:tcPr>
            <w:tcW w:type="dxa" w:w="16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Active | API 67</w:t>
            </w:r>
          </w:p>
        </w:tc>
        <w:tc>
          <w:tcPr>
            <w:tcW w:type="dxa" w:w="2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01qhG0000004ON7QAM | 17 Aug 2026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Apex Trigger</w:t>
            </w:r>
          </w:p>
        </w:tc>
        <w:tc>
          <w:tcPr>
            <w:tcW w:type="dxa" w:w="3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QuoteLineDateSyncTrigger</w:t>
            </w:r>
          </w:p>
        </w:tc>
        <w:tc>
          <w:tcPr>
            <w:tcW w:type="dxa" w:w="16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Active | API 67</w:t>
            </w:r>
          </w:p>
        </w:tc>
        <w:tc>
          <w:tcPr>
            <w:tcW w:type="dxa" w:w="2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01qhG0000004OOjQAM | 12 Aug 2026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Apex Class</w:t>
            </w:r>
          </w:p>
        </w:tc>
        <w:tc>
          <w:tcPr>
            <w:tcW w:type="dxa" w:w="3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QuoteLineGroupAsyncHelper</w:t>
            </w:r>
          </w:p>
        </w:tc>
        <w:tc>
          <w:tcPr>
            <w:tcW w:type="dxa" w:w="16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Active | API 67</w:t>
            </w:r>
          </w:p>
        </w:tc>
        <w:tc>
          <w:tcPr>
            <w:tcW w:type="dxa" w:w="2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01phG000000aImPQAU | 100% target coverage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Apex Class</w:t>
            </w:r>
          </w:p>
        </w:tc>
        <w:tc>
          <w:tcPr>
            <w:tcW w:type="dxa" w:w="3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QuoteLineGroupTriggerHandler</w:t>
            </w:r>
          </w:p>
        </w:tc>
        <w:tc>
          <w:tcPr>
            <w:tcW w:type="dxa" w:w="16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Active | API 67</w:t>
            </w:r>
          </w:p>
        </w:tc>
        <w:tc>
          <w:tcPr>
            <w:tcW w:type="dxa" w:w="2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01phG000000aDErQAM | one-line flag holder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Apex Tests</w:t>
            </w:r>
          </w:p>
        </w:tc>
        <w:tc>
          <w:tcPr>
            <w:tcW w:type="dxa" w:w="3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QuoteLineGroupTriggerTest; QuoteLineGroupAsyncHelperTest</w:t>
            </w:r>
          </w:p>
        </w:tc>
        <w:tc>
          <w:tcPr>
            <w:tcW w:type="dxa" w:w="16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7 / 7 passed</w:t>
            </w:r>
          </w:p>
        </w:tc>
        <w:tc>
          <w:tcPr>
            <w:tcW w:type="dxa" w:w="2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6 methods + 1 method | synchronous runs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Custom Fields</w:t>
            </w:r>
          </w:p>
        </w:tc>
        <w:tc>
          <w:tcPr>
            <w:tcW w:type="dxa" w:w="3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Effective_Start_Date__c; Effective_EndDate__c</w:t>
            </w:r>
          </w:p>
        </w:tc>
        <w:tc>
          <w:tcPr>
            <w:tcW w:type="dxa" w:w="16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Formula (Date)</w:t>
            </w:r>
          </w:p>
        </w:tc>
        <w:tc>
          <w:tcPr>
            <w:tcW w:type="dxa" w:w="2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Read-only mirrors of managed group dates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Field Set</w:t>
            </w:r>
          </w:p>
        </w:tc>
        <w:tc>
          <w:tcPr>
            <w:tcW w:type="dxa" w:w="3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SBQQ__QuoteLineGroup__c.SBQQ__LineEditor</w:t>
            </w:r>
          </w:p>
        </w:tc>
        <w:tc>
          <w:tcPr>
            <w:tcW w:type="dxa" w:w="16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Verified live</w:t>
            </w:r>
          </w:p>
        </w:tc>
        <w:tc>
          <w:tcPr>
            <w:tcW w:type="dxa" w:w="2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Name; Ramping; Effective Start; Term; Effective End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Permission Set</w:t>
            </w:r>
          </w:p>
        </w:tc>
        <w:tc>
          <w:tcPr>
            <w:tcW w:type="dxa" w:w="3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CPQ_Sales_Permissions</w:t>
            </w:r>
          </w:p>
        </w:tc>
        <w:tc>
          <w:tcPr>
            <w:tcW w:type="dxa" w:w="16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Read = true; Edit = false</w:t>
            </w:r>
          </w:p>
        </w:tc>
        <w:tc>
          <w:tcPr>
            <w:tcW w:type="dxa" w:w="2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0PSPb0000007QqfOAE | both formula fields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40" w:lineRule="auto"/>
      </w:pPr>
      <w:r>
        <w:t>Validation read-back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400"/>
        <w:gridCol w:w="5860"/>
      </w:tblGrid>
      <w:tr>
        <w:trPr>
          <w:tblHeader w:val="true"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Evidence</w:t>
            </w:r>
          </w:p>
        </w:tc>
        <w:tc>
          <w:tcPr>
            <w:tcW w:type="dxa" w:w="14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Result</w:t>
            </w:r>
          </w:p>
        </w:tc>
        <w:tc>
          <w:tcPr>
            <w:tcW w:type="dxa" w:w="5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Read-back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Focused retrieval</w:t>
            </w:r>
          </w:p>
        </w:tc>
        <w:tc>
          <w:tcPr>
            <w:tcW w:type="dxa" w:w="1400"/>
            <w:shd w:fill="E4F3EF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1856F"/>
                <w:sz w:val="17"/>
              </w:rPr>
              <w:t>Pass</w:t>
            </w:r>
          </w:p>
        </w:tc>
        <w:tc>
          <w:tcPr>
            <w:tcW w:type="dxa" w:w="5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Retrieve ID 09ShG000006G5JdUAK; exact Apex, fields, and permission set retrieved locally.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Trigger tests</w:t>
            </w:r>
          </w:p>
        </w:tc>
        <w:tc>
          <w:tcPr>
            <w:tcW w:type="dxa" w:w="1400"/>
            <w:shd w:fill="E4F3EF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1856F"/>
                <w:sz w:val="17"/>
              </w:rPr>
              <w:t>Pass</w:t>
            </w:r>
          </w:p>
        </w:tc>
        <w:tc>
          <w:tcPr>
            <w:tcW w:type="dxa" w:w="5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QuoteLineGroupTriggerTest: 6/6; test-run coverage 83%; target trigger coverage 96%.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Helper test</w:t>
            </w:r>
          </w:p>
        </w:tc>
        <w:tc>
          <w:tcPr>
            <w:tcW w:type="dxa" w:w="1400"/>
            <w:shd w:fill="E4F3EF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1856F"/>
                <w:sz w:val="17"/>
              </w:rPr>
              <w:t>Pass</w:t>
            </w:r>
          </w:p>
        </w:tc>
        <w:tc>
          <w:tcPr>
            <w:tcW w:type="dxa" w:w="5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QuoteLineGroupAsyncHelperTest: 1/1; test-run coverage 95%; helper 100%.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Live New Business</w:t>
            </w:r>
          </w:p>
        </w:tc>
        <w:tc>
          <w:tcPr>
            <w:tcW w:type="dxa" w:w="1400"/>
            <w:shd w:fill="E4F3EF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11856F"/>
                <w:sz w:val="17"/>
              </w:rPr>
              <w:t>Pass</w:t>
            </w:r>
          </w:p>
        </w:tc>
        <w:tc>
          <w:tcPr>
            <w:tcW w:type="dxa" w:w="5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Q-37942: three 12-month ramped groups form a continuous 36-month chain; five lines match their groups.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Renewal / Amendment</w:t>
            </w:r>
          </w:p>
        </w:tc>
        <w:tc>
          <w:tcPr>
            <w:tcW w:type="dxa" w:w="1400"/>
            <w:shd w:fill="FCE8E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i w:val="0"/>
                <w:color w:val="D32F2F"/>
                <w:sz w:val="17"/>
              </w:rPr>
              <w:t>Gap</w:t>
            </w:r>
          </w:p>
        </w:tc>
        <w:tc>
          <w:tcPr>
            <w:tcW w:type="dxa" w:w="58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Q-37894 Renewal and Q-37884 Amendment groups show null dates, consistent with the current bypass.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CE8E8"/>
          </w:tcPr>
          <w:p>
            <w:pPr>
              <w:keepNext w:val="0"/>
              <w:spacing w:before="0" w:after="60" w:line="240" w:lineRule="auto"/>
            </w:pPr>
            <w:r>
              <w:rPr>
                <w:rFonts w:ascii="Arial" w:hAnsi="Arial"/>
                <w:b/>
                <w:i w:val="0"/>
                <w:color w:val="D32F2F"/>
                <w:sz w:val="19"/>
              </w:rPr>
              <w:t>SCOPE BLOCKER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1"/>
              </w:rPr>
              <w:t>The Partial implementation is internally consistent for New Business, but it is not equivalent to the original New + Renewal requirement. A release owner must approve the narrowed scope or sponsor the Renewal extension before promotion.</w:t>
            </w:r>
          </w:p>
        </w:tc>
      </w:tr>
    </w:tbl>
    <w:p>
      <w:pPr>
        <w:keepNext w:val="0"/>
        <w:spacing w:before="0" w:after="0" w:line="254" w:lineRule="auto"/>
      </w:pPr>
    </w:p>
    <w:p>
      <w:r>
        <w:br w:type="page"/>
      </w:r>
    </w:p>
    <w:p>
      <w:pPr>
        <w:pStyle w:val="Heading1"/>
        <w:keepNext/>
        <w:spacing w:before="160" w:after="100" w:line="240" w:lineRule="auto"/>
      </w:pPr>
      <w:r>
        <w:t>Implementation and release boundary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Component type</w:t>
            </w:r>
          </w:p>
        </w:tc>
        <w:tc>
          <w:tcPr>
            <w:tcW w:type="dxa" w:w="3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Focused scope</w:t>
            </w:r>
          </w:p>
        </w:tc>
        <w:tc>
          <w:tcPr>
            <w:tcW w:type="dxa" w:w="3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Required action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Apex triggers</w:t>
            </w:r>
          </w:p>
        </w:tc>
        <w:tc>
          <w:tcPr>
            <w:tcW w:type="dxa" w:w="3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QuoteLineGroupTrigger; QuoteLineDateSyncTrigger</w:t>
            </w:r>
          </w:p>
        </w:tc>
        <w:tc>
          <w:tcPr>
            <w:tcW w:type="dxa" w:w="3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Include together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Runtime classes</w:t>
            </w:r>
          </w:p>
        </w:tc>
        <w:tc>
          <w:tcPr>
            <w:tcW w:type="dxa" w:w="3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QuoteLineGroupAsyncHelper; QuoteLineGroupTriggerHandler</w:t>
            </w:r>
          </w:p>
        </w:tc>
        <w:tc>
          <w:tcPr>
            <w:tcW w:type="dxa" w:w="3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Review handler use; include only approved scope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Test classes</w:t>
            </w:r>
          </w:p>
        </w:tc>
        <w:tc>
          <w:tcPr>
            <w:tcW w:type="dxa" w:w="3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QuoteLineGroupTriggerTest; QuoteLineGroupAsyncHelperTest</w:t>
            </w:r>
          </w:p>
        </w:tc>
        <w:tc>
          <w:tcPr>
            <w:tcW w:type="dxa" w:w="3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Run specified tests in validation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Formula fields</w:t>
            </w:r>
          </w:p>
        </w:tc>
        <w:tc>
          <w:tcPr>
            <w:tcW w:type="dxa" w:w="3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Effective_Start_Date__c; Effective_EndDate__c</w:t>
            </w:r>
          </w:p>
        </w:tc>
        <w:tc>
          <w:tcPr>
            <w:tcW w:type="dxa" w:w="3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Include both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Managed field-set override</w:t>
            </w:r>
          </w:p>
        </w:tc>
        <w:tc>
          <w:tcPr>
            <w:tcW w:type="dxa" w:w="3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SBQQ__QuoteLineGroup__c.SBQQ__LineEditor</w:t>
            </w:r>
          </w:p>
        </w:tc>
        <w:tc>
          <w:tcPr>
            <w:tcW w:type="dxa" w:w="3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Preserve order; remove editable dates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Permission set</w:t>
            </w:r>
          </w:p>
        </w:tc>
        <w:tc>
          <w:tcPr>
            <w:tcW w:type="dxa" w:w="3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CPQ_Sales_Permissions</w:t>
            </w:r>
          </w:p>
        </w:tc>
        <w:tc>
          <w:tcPr>
            <w:tcW w:type="dxa" w:w="3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Retain read=true, edit=false for both formula fields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Reference-only data</w:t>
            </w:r>
          </w:p>
        </w:tc>
        <w:tc>
          <w:tcPr>
            <w:tcW w:type="dxa" w:w="3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Q-37942; Q-37892; Q-37894; Q-37884</w:t>
            </w:r>
          </w:p>
        </w:tc>
        <w:tc>
          <w:tcPr>
            <w:tcW w:type="dxa" w:w="3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Do not deploy records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Excluded</w:t>
            </w:r>
          </w:p>
        </w:tc>
        <w:tc>
          <w:tcPr>
            <w:tcW w:type="dxa" w:w="3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Local scripts, retrieval ZIPs, QA renders, Jira export</w:t>
            </w:r>
          </w:p>
        </w:tc>
        <w:tc>
          <w:tcPr>
            <w:tcW w:type="dxa" w:w="3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Engineering evidence only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40" w:lineRule="auto"/>
      </w:pPr>
      <w:r>
        <w:t>Release sequence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Phase</w:t>
            </w:r>
          </w:p>
        </w:tc>
        <w:tc>
          <w:tcPr>
            <w:tcW w:type="dxa" w:w="74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Pre-deployment</w:t>
            </w:r>
          </w:p>
        </w:tc>
        <w:tc>
          <w:tcPr>
            <w:tcW w:type="dxa" w:w="74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Confirm approved scope; retrieve target-org baselines; build a focused 10-member manifest; inspect permission-set delta; run check-only validation with both tests.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Deployment</w:t>
            </w:r>
          </w:p>
        </w:tc>
        <w:tc>
          <w:tcPr>
            <w:tcW w:type="dxa" w:w="74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Promote only the approved metadata bundle in dependency order: fields and field set, permission set, runtime classes, triggers, then tests/verification.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Post-deployment</w:t>
            </w:r>
          </w:p>
        </w:tc>
        <w:tc>
          <w:tcPr>
            <w:tcW w:type="dxa" w:w="74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Read back component status, formula definitions, field-set order, FLS, test outcome, coverage, and named New Business quote results.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Rollback</w:t>
            </w:r>
          </w:p>
        </w:tc>
        <w:tc>
          <w:tcPr>
            <w:tcW w:type="dxa" w:w="74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Restore the approved metadata backup if QLE becomes unusable or date automation regresses; verify the prior field-set and Apex state.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4D6"/>
          </w:tcPr>
          <w:p>
            <w:pPr>
              <w:keepNext w:val="0"/>
              <w:spacing w:before="0" w:after="60" w:line="240" w:lineRule="auto"/>
            </w:pPr>
            <w:r>
              <w:rPr>
                <w:rFonts w:ascii="Arial" w:hAnsi="Arial"/>
                <w:b/>
                <w:i w:val="0"/>
                <w:color w:val="B8750C"/>
                <w:sz w:val="19"/>
              </w:rPr>
              <w:t>NO-DEPLOY GATE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1"/>
              </w:rPr>
              <w:t>This review performed scoped retrieval, schema/SOQL read-back, and focused tests only. No deployment, activation, record edit, assignment change, or Production action was performed. Explicit approval is required before any promotion.</w:t>
            </w:r>
          </w:p>
        </w:tc>
      </w:tr>
    </w:tbl>
    <w:p>
      <w:pPr>
        <w:keepNext w:val="0"/>
        <w:spacing w:before="0" w:after="0" w:line="254" w:lineRule="auto"/>
      </w:pPr>
    </w:p>
    <w:p>
      <w:r>
        <w:br w:type="page"/>
      </w:r>
    </w:p>
    <w:p>
      <w:pPr>
        <w:pStyle w:val="Heading1"/>
        <w:keepNext/>
        <w:spacing w:before="160" w:after="100" w:line="240" w:lineRule="auto"/>
      </w:pPr>
      <w:r>
        <w:t>UAT and approval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Test</w:t>
            </w:r>
          </w:p>
        </w:tc>
        <w:tc>
          <w:tcPr>
            <w:tcW w:type="dxa" w:w="7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Pass evidence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Baseline QLE</w:t>
            </w:r>
          </w:p>
        </w:tc>
        <w:tc>
          <w:tcPr>
            <w:tcW w:type="dxa" w:w="7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Open Q-37942 in Partial, click Edit Lines, and confirm Effective Start Date and Effective EndDate are visible but not editable.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Date and line continuity</w:t>
            </w:r>
          </w:p>
        </w:tc>
        <w:tc>
          <w:tcPr>
            <w:tcW w:type="dxa" w:w="7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Confirm SUP Year 1/2/3 are continuous from 24 Sep 2026 to 23 Sep 2029, and representative lines match each parent group's start, end, and term.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Cascade update</w:t>
            </w:r>
          </w:p>
        </w:tc>
        <w:tc>
          <w:tcPr>
            <w:tcW w:type="dxa" w:w="7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On a cloned test quote, change an earlier group's term, Save/Quick Save, and confirm later groups shift with no gap or overlap.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Term validation</w:t>
            </w:r>
          </w:p>
        </w:tc>
        <w:tc>
          <w:tcPr>
            <w:tcW w:type="dxa" w:w="7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On a cloned test quote, test both under- and over-allocation; capture the actual error text and confirm no invalid save.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Unproven regressions</w:t>
            </w:r>
          </w:p>
        </w:tc>
        <w:tc>
          <w:tcPr>
            <w:tcW w:type="dxa" w:w="7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Prove the ungrouped line inherits the full Quote period and that an approved Contract Start Date update shifts Quote, group, and line periods before ordering.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Renewal decision</w:t>
            </w:r>
          </w:p>
        </w:tc>
        <w:tc>
          <w:tcPr>
            <w:tcW w:type="dxa" w:w="7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7"/>
              </w:rPr>
              <w:t>Either document Renewal as excluded for this release or execute equivalent Renewal tests after the trigger is extended.</w:t>
            </w:r>
          </w:p>
        </w:tc>
      </w:tr>
    </w:tbl>
    <w:p>
      <w:pPr>
        <w:spacing w:after="0"/>
      </w:pPr>
    </w:p>
    <w:p>
      <w:pPr>
        <w:keepNext w:val="0"/>
        <w:spacing w:before="20" w:after="140" w:line="254" w:lineRule="auto"/>
      </w:pPr>
      <w:r>
        <w:rPr>
          <w:rFonts w:ascii="Arial" w:hAnsi="Arial"/>
          <w:b/>
          <w:i w:val="0"/>
          <w:color w:val="0B2545"/>
          <w:sz w:val="18"/>
        </w:rPr>
        <w:t xml:space="preserve">Baseline record: </w:t>
      </w:r>
      <w:hyperlink r:id="rId17">
        <w:r>
          <w:rPr>
            <w:color w:val="2E74B5"/>
            <w:u w:val="single"/>
          </w:rPr>
          <w:t>Q-37942 in FlywirePartial</w:t>
        </w:r>
      </w:hyperlink>
    </w:p>
    <w:p>
      <w:pPr>
        <w:pStyle w:val="Heading2"/>
        <w:keepNext/>
        <w:spacing w:before="120" w:after="100" w:line="240" w:lineRule="auto"/>
      </w:pPr>
      <w:r>
        <w:t>Required approval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"/>
        <w:gridCol w:w="2400"/>
        <w:gridCol w:w="2200"/>
        <w:gridCol w:w="4260"/>
      </w:tblGrid>
      <w:tr>
        <w:trPr>
          <w:tblHeader w:val="true"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#</w:t>
            </w:r>
          </w:p>
        </w:tc>
        <w:tc>
          <w:tcPr>
            <w:tcW w:type="dxa" w:w="24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Required action</w:t>
            </w:r>
          </w:p>
        </w:tc>
        <w:tc>
          <w:tcPr>
            <w:tcW w:type="dxa" w:w="22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Owner</w:t>
            </w:r>
          </w:p>
        </w:tc>
        <w:tc>
          <w:tcPr>
            <w:tcW w:type="dxa" w:w="4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1F3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rial" w:hAnsi="Arial"/>
                <w:b/>
                <w:i w:val="0"/>
                <w:color w:val="0B2545"/>
                <w:sz w:val="18"/>
              </w:rPr>
              <w:t>Evidence needed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1</w:t>
            </w:r>
          </w:p>
        </w:tc>
        <w:tc>
          <w:tcPr>
            <w:tcW w:type="dxa" w:w="24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Confirm scope</w:t>
            </w:r>
          </w:p>
        </w:tc>
        <w:tc>
          <w:tcPr>
            <w:tcW w:type="dxa" w:w="22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Product Owner / Architect</w:t>
            </w:r>
          </w:p>
        </w:tc>
        <w:tc>
          <w:tcPr>
            <w:tcW w:type="dxa" w:w="4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Written decision on New Business-only versus Renewal support.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2</w:t>
            </w:r>
          </w:p>
        </w:tc>
        <w:tc>
          <w:tcPr>
            <w:tcW w:type="dxa" w:w="24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Validate focused package</w:t>
            </w:r>
          </w:p>
        </w:tc>
        <w:tc>
          <w:tcPr>
            <w:tcW w:type="dxa" w:w="22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Release Manager</w:t>
            </w:r>
          </w:p>
        </w:tc>
        <w:tc>
          <w:tcPr>
            <w:tcW w:type="dxa" w:w="4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Check-only job ID, exact 10-member scope, both test results, coverage.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3</w:t>
            </w:r>
          </w:p>
        </w:tc>
        <w:tc>
          <w:tcPr>
            <w:tcW w:type="dxa" w:w="24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Run business UAT</w:t>
            </w:r>
          </w:p>
        </w:tc>
        <w:tc>
          <w:tcPr>
            <w:tcW w:type="dxa" w:w="22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QA / Business Owner</w:t>
            </w:r>
          </w:p>
        </w:tc>
        <w:tc>
          <w:tcPr>
            <w:tcW w:type="dxa" w:w="4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Record IDs, before/after dates, actual error text, screenshots.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4</w:t>
            </w:r>
          </w:p>
        </w:tc>
        <w:tc>
          <w:tcPr>
            <w:tcW w:type="dxa" w:w="24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Approve promotion</w:t>
            </w:r>
          </w:p>
        </w:tc>
        <w:tc>
          <w:tcPr>
            <w:tcW w:type="dxa" w:w="22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Architect / Release Owner</w:t>
            </w:r>
          </w:p>
        </w:tc>
        <w:tc>
          <w:tcPr>
            <w:tcW w:type="dxa" w:w="4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Explicit approval after all acceptance gaps are closed or waived.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5</w:t>
            </w:r>
          </w:p>
        </w:tc>
        <w:tc>
          <w:tcPr>
            <w:tcW w:type="dxa" w:w="24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Promote and read back</w:t>
            </w:r>
          </w:p>
        </w:tc>
        <w:tc>
          <w:tcPr>
            <w:tcW w:type="dxa" w:w="22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DevOps / Salesforce Admin</w:t>
            </w:r>
          </w:p>
        </w:tc>
        <w:tc>
          <w:tcPr>
            <w:tcW w:type="dxa" w:w="42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202B3C"/>
                <w:sz w:val="16"/>
              </w:rPr>
              <w:t>Deployment receipt, component/FLS read-back, audit trail, sign-offs.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40" w:lineRule="auto"/>
      </w:pPr>
      <w:r>
        <w:t>Ready-to-paste architect response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7F1FB"/>
          </w:tcPr>
          <w:p>
            <w:pPr>
              <w:keepNext w:val="0"/>
              <w:spacing w:before="0" w:after="60" w:line="240" w:lineRule="auto"/>
            </w:pPr>
            <w:r>
              <w:rPr>
                <w:rFonts w:ascii="Arial" w:hAnsi="Arial"/>
                <w:b/>
                <w:i w:val="0"/>
                <w:color w:val="2E74B5"/>
                <w:sz w:val="19"/>
              </w:rPr>
              <w:t>STORY COMMENT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17"/>
              </w:rPr>
              <w:t>Architect review completed for SALDEV-1415 in FlywirePartial. Changes Requested. The implementation is test-backed for New Business: 7/7 focused methods passed; QuoteLineGroupTrigger is 96% covered; QuoteLineDateSyncTrigger and QuoteLineGroupAsyncHelper are 100%; and Q-37942 shows three continuous groups with five lines matching their parent periods. Effective dates are read-only in QLE. Renewal is bypassed despite the original scope, while the requested manual-date error text, ungrouped-line behavior, and Contract Start Date cascade still require decision or proof. Confirm scope, run focused check-only validation and documented UAT, then capture post-deployment read-back. No deployment, activation, record, assignment, or Production changes were made.</w:t>
            </w:r>
          </w:p>
        </w:tc>
      </w:tr>
    </w:tbl>
    <w:p>
      <w:pPr>
        <w:keepNext w:val="0"/>
        <w:spacing w:before="0" w:after="0" w:line="254" w:lineRule="auto"/>
      </w:pP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20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yperlink" Target="https://flywire--partial.sandbox.my.salesforce.com/a2NhG000003o60XU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SALDEV-1415 Architect Review</dc:title>
  <dc:subject>Stepped-up pricing date automation implementation and release readiness</dc:subject>
  <dc:creator>Solution Architecture Review</dc:creator>
  <cp:keywords>SALDEV-1415; Salesforce CPQ; stepped-up pricing; architect review; FlywirePartial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