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rial" w:hAnsi="Arial" w:eastAsia="Arial"/>
          <w:b/>
          <w:color w:val="2E75B6"/>
          <w:sz w:val="22"/>
        </w:rPr>
        <w:t>IMPLEMENTATION VERIFICATION &amp; TEAM RUNBOOK</w:t>
      </w:r>
    </w:p>
    <w:p>
      <w:pPr>
        <w:spacing w:after="80" w:line="228" w:lineRule="auto"/>
      </w:pPr>
      <w:r>
        <w:rPr>
          <w:rFonts w:ascii="Arial" w:hAnsi="Arial" w:eastAsia="Arial"/>
          <w:b/>
          <w:color w:val="0B2545"/>
          <w:sz w:val="51"/>
        </w:rPr>
        <w:t>SALDEV-1469 | Gong ECA</w:t>
        <w:br/>
        <w:t>Salesforce Security Update</w:t>
      </w:r>
    </w:p>
    <w:p>
      <w:pPr>
        <w:spacing w:after="280"/>
      </w:pPr>
      <w:r>
        <w:rPr>
          <w:rFonts w:ascii="Arial" w:hAnsi="Arial" w:eastAsia="Arial"/>
          <w:color w:val="5E6B7E"/>
          <w:sz w:val="26"/>
        </w:rPr>
        <w:t>Flywire Partial sandbox | Package verification, authorization review, and team handoff</w:t>
      </w:r>
    </w:p>
    <w:tbl>
      <w:tblPr>
        <w:tblW w:type="dxa" w:w="9360"/>
        <w:tblLayout w:type="fixed"/>
        <w:tblLook w:firstColumn="1" w:firstRow="1" w:lastColumn="0" w:lastRow="0" w:noHBand="0" w:noVBand="1" w:val="04A0"/>
        <w:jc w:val="left"/>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930"/>
        <w:gridCol w:w="7430"/>
      </w:tblGrid>
      <w:tr>
        <w:trPr>
          <w:tblHeader w:val="true"/>
        </w:trPr>
        <w:tc>
          <w:tcPr>
            <w:tcW w:type="dxa" w:w="1930"/>
            <w:tcMar>
              <w:top w:w="72" w:type="dxa"/>
              <w:start w:w="120" w:type="dxa"/>
              <w:bottom w:w="72" w:type="dxa"/>
              <w:end w:w="120" w:type="dxa"/>
            </w:tcMar>
            <w:vAlign w:val="center"/>
            <w:shd w:fill="F1F3F6"/>
          </w:tcPr>
          <w:p>
            <w:pPr>
              <w:spacing w:before="0" w:after="0" w:line="240" w:lineRule="auto"/>
              <w:jc w:val="left"/>
            </w:pPr>
            <w:r/>
            <w:r>
              <w:rPr>
                <w:rFonts w:ascii="Arial" w:hAnsi="Arial" w:eastAsia="Arial"/>
                <w:b/>
                <w:color w:val="0B2545"/>
                <w:sz w:val="19"/>
              </w:rPr>
              <w:t>Environment</w:t>
            </w:r>
          </w:p>
        </w:tc>
        <w:tc>
          <w:tcPr>
            <w:tcW w:type="dxa" w:w="7430"/>
            <w:tcMar>
              <w:top w:w="72" w:type="dxa"/>
              <w:start w:w="120" w:type="dxa"/>
              <w:bottom w:w="72" w:type="dxa"/>
              <w:end w:w="120" w:type="dxa"/>
            </w:tcMar>
            <w:vAlign w:val="center"/>
            <w:shd w:fill="F1F3F6"/>
          </w:tcPr>
          <w:p>
            <w:pPr>
              <w:spacing w:before="0" w:after="0" w:line="240" w:lineRule="auto"/>
              <w:jc w:val="left"/>
            </w:pPr>
            <w:r/>
            <w:r>
              <w:rPr>
                <w:rFonts w:ascii="Arial" w:hAnsi="Arial" w:eastAsia="Arial"/>
                <w:b/>
                <w:color w:val="0B2545"/>
                <w:sz w:val="19"/>
              </w:rPr>
              <w:t>FlywirePartial | Org 00DhG0000000jOXUAY | Sandbox</w:t>
            </w:r>
          </w:p>
        </w:tc>
      </w:tr>
      <w:tr>
        <w:tc>
          <w:tcPr>
            <w:tcW w:type="dxa" w:w="1930"/>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Review date</w:t>
            </w:r>
          </w:p>
        </w:tc>
        <w:tc>
          <w:tcPr>
            <w:tcW w:type="dxa" w:w="7430"/>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28 August 2026</w:t>
            </w:r>
          </w:p>
        </w:tc>
      </w:tr>
      <w:tr>
        <w:tc>
          <w:tcPr>
            <w:tcW w:type="dxa" w:w="1930"/>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Deadline</w:t>
            </w:r>
          </w:p>
        </w:tc>
        <w:tc>
          <w:tcPr>
            <w:tcW w:type="dxa" w:w="7430"/>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Complete required action before 31 August 2026</w:t>
            </w:r>
          </w:p>
        </w:tc>
      </w:tr>
      <w:tr>
        <w:tc>
          <w:tcPr>
            <w:tcW w:type="dxa" w:w="1930"/>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Current decision</w:t>
            </w:r>
          </w:p>
        </w:tc>
        <w:tc>
          <w:tcPr>
            <w:tcW w:type="dxa" w:w="7430"/>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Package installed; admin sign-in/authorization proof still pending</w:t>
            </w:r>
          </w:p>
        </w:tc>
      </w:tr>
      <w:tr>
        <w:tc>
          <w:tcPr>
            <w:tcW w:type="dxa" w:w="1930"/>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Boundary</w:t>
            </w:r>
          </w:p>
        </w:tc>
        <w:tc>
          <w:tcPr>
            <w:tcW w:type="dxa" w:w="7430"/>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No Production change; no uninstall, disconnect, reconnect, or session-specific OAuth link sharing</w:t>
            </w:r>
          </w:p>
        </w:tc>
      </w:tr>
    </w:tbl>
    <w:p>
      <w:pPr>
        <w:spacing w:after="0" w:before="20"/>
      </w:pPr>
    </w:p>
    <w:tbl>
      <w:tblPr>
        <w:tblW w:type="dxa" w:w="9360"/>
        <w:jc w:val="left"/>
        <w:tblLayout w:type="fixed"/>
        <w:tblLook w:firstColumn="1" w:firstRow="1" w:lastColumn="0" w:lastRow="0" w:noHBand="0" w:noVBand="1" w:val="04A0"/>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9360"/>
      </w:tblGrid>
      <w:tr>
        <w:tc>
          <w:tcPr>
            <w:tcW w:type="dxa" w:w="9360"/>
            <w:tcMar>
              <w:top w:w="110" w:type="dxa"/>
              <w:start w:w="140" w:type="dxa"/>
              <w:bottom w:w="110" w:type="dxa"/>
              <w:end w:w="140" w:type="dxa"/>
            </w:tcMar>
            <w:vAlign w:val="center"/>
            <w:shd w:fill="FFF4D9"/>
          </w:tcPr>
          <w:p>
            <w:pPr>
              <w:spacing w:after="60"/>
            </w:pPr>
            <w:r>
              <w:rPr>
                <w:rFonts w:ascii="Arial" w:hAnsi="Arial" w:eastAsia="Arial"/>
                <w:b/>
                <w:color w:val="B97816"/>
                <w:sz w:val="19"/>
              </w:rPr>
              <w:t>TEAM DECISION</w:t>
            </w:r>
          </w:p>
          <w:p>
            <w:pPr>
              <w:spacing w:before="0" w:after="0" w:line="240" w:lineRule="auto"/>
            </w:pPr>
            <w:r>
              <w:rPr>
                <w:rFonts w:ascii="Arial" w:hAnsi="Arial" w:eastAsia="Arial"/>
                <w:b/>
                <w:color w:val="0B2545"/>
                <w:sz w:val="22"/>
              </w:rPr>
              <w:t>Use the Zoom session with David to verify the installed Gong ECA package, start Sign in with Salesforce against the Partial sandbox, and stop at the Allow/Authorization page so the team can inspect the app identity and scopes before proceeding.</w:t>
            </w:r>
          </w:p>
        </w:tc>
      </w:tr>
    </w:tbl>
    <w:p>
      <w:pPr>
        <w:spacing w:after="0" w:before="20"/>
      </w:pPr>
    </w:p>
    <w:p>
      <w:pPr>
        <w:pStyle w:val="Heading1"/>
        <w:keepNext/>
        <w:pageBreakBefore w:val="0"/>
      </w:pPr>
      <w:r>
        <w:rPr>
          <w:rFonts w:ascii="Arial" w:hAnsi="Arial" w:eastAsia="Arial"/>
          <w:b/>
          <w:color w:val="2E75B6"/>
          <w:sz w:val="33"/>
        </w:rPr>
        <w:t>Current outcome</w:t>
      </w:r>
    </w:p>
    <w:tbl>
      <w:tblPr>
        <w:tblW w:type="dxa" w:w="9360"/>
        <w:tblLayout w:type="fixed"/>
        <w:tblLook w:firstColumn="1" w:firstRow="1" w:lastColumn="0" w:lastRow="0" w:noHBand="0" w:noVBand="1" w:val="04A0"/>
        <w:jc w:val="left"/>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952"/>
        <w:gridCol w:w="1584"/>
        <w:gridCol w:w="4824"/>
      </w:tblGrid>
      <w:tr>
        <w:trPr>
          <w:tblHeader w:val="true"/>
        </w:trPr>
        <w:tc>
          <w:tcPr>
            <w:tcW w:type="dxa" w:w="2952"/>
            <w:tcMar>
              <w:top w:w="72" w:type="dxa"/>
              <w:start w:w="120" w:type="dxa"/>
              <w:bottom w:w="72" w:type="dxa"/>
              <w:end w:w="120" w:type="dxa"/>
            </w:tcMar>
            <w:vAlign w:val="center"/>
            <w:shd w:fill="F1F3F6"/>
          </w:tcPr>
          <w:p>
            <w:pPr>
              <w:spacing w:before="0" w:after="0" w:line="240" w:lineRule="auto"/>
              <w:jc w:val="left"/>
            </w:pPr>
            <w:r/>
            <w:r>
              <w:rPr>
                <w:rFonts w:ascii="Arial" w:hAnsi="Arial" w:eastAsia="Arial"/>
                <w:b/>
                <w:color w:val="0B2545"/>
                <w:sz w:val="19"/>
              </w:rPr>
              <w:t>Scope</w:t>
            </w:r>
          </w:p>
        </w:tc>
        <w:tc>
          <w:tcPr>
            <w:tcW w:type="dxa" w:w="1584"/>
            <w:tcMar>
              <w:top w:w="72" w:type="dxa"/>
              <w:start w:w="120" w:type="dxa"/>
              <w:bottom w:w="72" w:type="dxa"/>
              <w:end w:w="120" w:type="dxa"/>
            </w:tcMar>
            <w:vAlign w:val="center"/>
            <w:shd w:fill="F1F3F6"/>
          </w:tcPr>
          <w:p>
            <w:pPr>
              <w:spacing w:before="0" w:after="0" w:line="240" w:lineRule="auto"/>
              <w:jc w:val="left"/>
            </w:pPr>
            <w:r/>
            <w:r>
              <w:rPr>
                <w:rFonts w:ascii="Arial" w:hAnsi="Arial" w:eastAsia="Arial"/>
                <w:b/>
                <w:color w:val="0B2545"/>
                <w:sz w:val="19"/>
              </w:rPr>
              <w:t>Status</w:t>
            </w:r>
          </w:p>
        </w:tc>
        <w:tc>
          <w:tcPr>
            <w:tcW w:type="dxa" w:w="4824"/>
            <w:tcMar>
              <w:top w:w="72" w:type="dxa"/>
              <w:start w:w="120" w:type="dxa"/>
              <w:bottom w:w="72" w:type="dxa"/>
              <w:end w:w="120" w:type="dxa"/>
            </w:tcMar>
            <w:vAlign w:val="center"/>
            <w:shd w:fill="F1F3F6"/>
          </w:tcPr>
          <w:p>
            <w:pPr>
              <w:spacing w:before="0" w:after="0" w:line="240" w:lineRule="auto"/>
              <w:jc w:val="left"/>
            </w:pPr>
            <w:r/>
            <w:r>
              <w:rPr>
                <w:rFonts w:ascii="Arial" w:hAnsi="Arial" w:eastAsia="Arial"/>
                <w:b/>
                <w:color w:val="0B2545"/>
                <w:sz w:val="19"/>
              </w:rPr>
              <w:t>Evidence / next action</w:t>
            </w:r>
          </w:p>
        </w:tc>
      </w:tr>
      <w:tr>
        <w:tc>
          <w:tcPr>
            <w:tcW w:type="dxa" w:w="2952"/>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Flywire Partial org connection</w:t>
            </w:r>
          </w:p>
        </w:tc>
        <w:tc>
          <w:tcPr>
            <w:tcW w:type="dxa" w:w="1584"/>
            <w:shd w:fill="E5F3EF"/>
            <w:tcMar>
              <w:top w:w="72" w:type="dxa"/>
              <w:start w:w="120" w:type="dxa"/>
              <w:bottom w:w="72" w:type="dxa"/>
              <w:end w:w="120" w:type="dxa"/>
            </w:tcMar>
            <w:vAlign w:val="center"/>
          </w:tcPr>
          <w:p>
            <w:pPr>
              <w:spacing w:before="0" w:after="0" w:line="240" w:lineRule="auto"/>
              <w:jc w:val="center"/>
            </w:pPr>
            <w:r/>
            <w:r>
              <w:rPr>
                <w:rFonts w:ascii="Arial" w:hAnsi="Arial" w:eastAsia="Arial"/>
                <w:b/>
                <w:color w:val="168A73"/>
                <w:sz w:val="18"/>
              </w:rPr>
              <w:t>Confirmed</w:t>
            </w:r>
          </w:p>
        </w:tc>
        <w:tc>
          <w:tcPr>
            <w:tcW w:type="dxa" w:w="4824"/>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Sandbox org identity was established for this work.</w:t>
            </w:r>
          </w:p>
        </w:tc>
      </w:tr>
      <w:tr>
        <w:tc>
          <w:tcPr>
            <w:tcW w:type="dxa" w:w="2952"/>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Gong ECA package installation</w:t>
            </w:r>
          </w:p>
        </w:tc>
        <w:tc>
          <w:tcPr>
            <w:tcW w:type="dxa" w:w="1584"/>
            <w:shd w:fill="E5F3EF"/>
            <w:tcMar>
              <w:top w:w="72" w:type="dxa"/>
              <w:start w:w="120" w:type="dxa"/>
              <w:bottom w:w="72" w:type="dxa"/>
              <w:end w:w="120" w:type="dxa"/>
            </w:tcMar>
            <w:vAlign w:val="center"/>
          </w:tcPr>
          <w:p>
            <w:pPr>
              <w:spacing w:before="0" w:after="0" w:line="240" w:lineRule="auto"/>
              <w:jc w:val="center"/>
            </w:pPr>
            <w:r/>
            <w:r>
              <w:rPr>
                <w:rFonts w:ascii="Arial" w:hAnsi="Arial" w:eastAsia="Arial"/>
                <w:b/>
                <w:color w:val="168A73"/>
                <w:sz w:val="18"/>
              </w:rPr>
              <w:t>Confirmed</w:t>
            </w:r>
          </w:p>
        </w:tc>
        <w:tc>
          <w:tcPr>
            <w:tcW w:type="dxa" w:w="4824"/>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Gong ECA v0.1 / gongeca / 0337y000005iObdAAE observed in Installed Packages.</w:t>
            </w:r>
          </w:p>
        </w:tc>
      </w:tr>
      <w:tr>
        <w:tc>
          <w:tcPr>
            <w:tcW w:type="dxa" w:w="2952"/>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Existing Gong CRM connection</w:t>
            </w:r>
          </w:p>
        </w:tc>
        <w:tc>
          <w:tcPr>
            <w:tcW w:type="dxa" w:w="1584"/>
            <w:shd w:fill="E5F3EF"/>
            <w:tcMar>
              <w:top w:w="72" w:type="dxa"/>
              <w:start w:w="120" w:type="dxa"/>
              <w:bottom w:w="72" w:type="dxa"/>
              <w:end w:w="120" w:type="dxa"/>
            </w:tcMar>
            <w:vAlign w:val="center"/>
          </w:tcPr>
          <w:p>
            <w:pPr>
              <w:spacing w:before="0" w:after="0" w:line="240" w:lineRule="auto"/>
              <w:jc w:val="center"/>
            </w:pPr>
            <w:r/>
            <w:r>
              <w:rPr>
                <w:rFonts w:ascii="Arial" w:hAnsi="Arial" w:eastAsia="Arial"/>
                <w:b/>
                <w:color w:val="168A73"/>
                <w:sz w:val="18"/>
              </w:rPr>
              <w:t>Confirmed</w:t>
            </w:r>
          </w:p>
        </w:tc>
        <w:tc>
          <w:tcPr>
            <w:tcW w:type="dxa" w:w="4824"/>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Gong showed connected as ada+gong@flywire.com with current imports.</w:t>
            </w:r>
          </w:p>
        </w:tc>
      </w:tr>
      <w:tr>
        <w:tc>
          <w:tcPr>
            <w:tcW w:type="dxa" w:w="2952"/>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Salesforce sign-in test</w:t>
            </w:r>
          </w:p>
        </w:tc>
        <w:tc>
          <w:tcPr>
            <w:tcW w:type="dxa" w:w="1584"/>
            <w:tcMar>
              <w:top w:w="72" w:type="dxa"/>
              <w:start w:w="120" w:type="dxa"/>
              <w:bottom w:w="72" w:type="dxa"/>
              <w:end w:w="120" w:type="dxa"/>
            </w:tcMar>
            <w:vAlign w:val="center"/>
          </w:tcPr>
          <w:p>
            <w:pPr>
              <w:spacing w:before="0" w:after="0" w:line="240" w:lineRule="auto"/>
              <w:jc w:val="center"/>
            </w:pPr>
            <w:r/>
            <w:r>
              <w:rPr>
                <w:rFonts w:ascii="Arial" w:hAnsi="Arial" w:eastAsia="Arial"/>
                <w:b/>
                <w:color w:val="263445"/>
                <w:sz w:val="18"/>
              </w:rPr>
              <w:t>Pending</w:t>
            </w:r>
          </w:p>
        </w:tc>
        <w:tc>
          <w:tcPr>
            <w:tcW w:type="dxa" w:w="4824"/>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David must run the controlled test while sharing his screen.</w:t>
            </w:r>
          </w:p>
        </w:tc>
      </w:tr>
      <w:tr>
        <w:tc>
          <w:tcPr>
            <w:tcW w:type="dxa" w:w="2952"/>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Authorization scope review</w:t>
            </w:r>
          </w:p>
        </w:tc>
        <w:tc>
          <w:tcPr>
            <w:tcW w:type="dxa" w:w="1584"/>
            <w:tcMar>
              <w:top w:w="72" w:type="dxa"/>
              <w:start w:w="120" w:type="dxa"/>
              <w:bottom w:w="72" w:type="dxa"/>
              <w:end w:w="120" w:type="dxa"/>
            </w:tcMar>
            <w:vAlign w:val="center"/>
          </w:tcPr>
          <w:p>
            <w:pPr>
              <w:spacing w:before="0" w:after="0" w:line="240" w:lineRule="auto"/>
              <w:jc w:val="center"/>
            </w:pPr>
            <w:r/>
            <w:r>
              <w:rPr>
                <w:rFonts w:ascii="Arial" w:hAnsi="Arial" w:eastAsia="Arial"/>
                <w:b/>
                <w:color w:val="263445"/>
                <w:sz w:val="18"/>
              </w:rPr>
              <w:t>Pending</w:t>
            </w:r>
          </w:p>
        </w:tc>
        <w:tc>
          <w:tcPr>
            <w:tcW w:type="dxa" w:w="4824"/>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Stop before Allow and verify the displayed app name and scopes.</w:t>
            </w:r>
          </w:p>
        </w:tc>
      </w:tr>
      <w:tr>
        <w:tc>
          <w:tcPr>
            <w:tcW w:type="dxa" w:w="2952"/>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Production readiness</w:t>
            </w:r>
          </w:p>
        </w:tc>
        <w:tc>
          <w:tcPr>
            <w:tcW w:type="dxa" w:w="1584"/>
            <w:tcMar>
              <w:top w:w="72" w:type="dxa"/>
              <w:start w:w="120" w:type="dxa"/>
              <w:bottom w:w="72" w:type="dxa"/>
              <w:end w:w="120" w:type="dxa"/>
            </w:tcMar>
            <w:vAlign w:val="center"/>
          </w:tcPr>
          <w:p>
            <w:pPr>
              <w:spacing w:before="0" w:after="0" w:line="240" w:lineRule="auto"/>
              <w:jc w:val="center"/>
            </w:pPr>
            <w:r/>
            <w:r>
              <w:rPr>
                <w:rFonts w:ascii="Arial" w:hAnsi="Arial" w:eastAsia="Arial"/>
                <w:b/>
                <w:color w:val="263445"/>
                <w:sz w:val="18"/>
              </w:rPr>
              <w:t>Not evaluated</w:t>
            </w:r>
          </w:p>
        </w:tc>
        <w:tc>
          <w:tcPr>
            <w:tcW w:type="dxa" w:w="4824"/>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This runbook covers Sandbox (Partial) only.</w:t>
            </w:r>
          </w:p>
        </w:tc>
      </w:tr>
    </w:tbl>
    <w:p>
      <w:pPr>
        <w:spacing w:after="0" w:before="20"/>
      </w:pPr>
    </w:p>
    <w:p>
      <w:r>
        <w:br w:type="page"/>
      </w:r>
    </w:p>
    <w:p>
      <w:pPr>
        <w:pStyle w:val="Heading1"/>
        <w:keepNext/>
        <w:pageBreakBefore w:val="0"/>
      </w:pPr>
      <w:r>
        <w:rPr>
          <w:rFonts w:ascii="Arial" w:hAnsi="Arial" w:eastAsia="Arial"/>
          <w:b/>
          <w:color w:val="2E75B6"/>
          <w:sz w:val="33"/>
        </w:rPr>
        <w:t>Story scope and work completed</w:t>
      </w:r>
    </w:p>
    <w:p>
      <w:pPr>
        <w:spacing w:before="0" w:after="120" w:line="259" w:lineRule="auto"/>
        <w:jc w:val="left"/>
      </w:pPr>
      <w:r>
        <w:rPr>
          <w:rFonts w:ascii="Arial" w:hAnsi="Arial" w:eastAsia="Arial"/>
          <w:b w:val="0"/>
          <w:i w:val="0"/>
          <w:color w:val="263445"/>
          <w:sz w:val="21"/>
        </w:rPr>
        <w:t>SALDEV-1469 was raised because Gong is replacing its legacy Salesforce connected app with an External Client App to support Salesforce security requirements, including PKCE, refresh-token rotation, refresh-token idle timeout, and refresh-token IP controls. Because Flywire uses Sign in with Salesforce for Gong, an administrator must install and validate the replacement before the deadline.</w:t>
      </w:r>
    </w:p>
    <w:p>
      <w:pPr>
        <w:pStyle w:val="Heading2"/>
        <w:keepNext/>
        <w:pageBreakBefore w:val="0"/>
      </w:pPr>
      <w:r>
        <w:rPr>
          <w:rFonts w:ascii="Arial" w:hAnsi="Arial" w:eastAsia="Arial"/>
          <w:b/>
          <w:color w:val="2E75B6"/>
          <w:sz w:val="26"/>
        </w:rPr>
        <w:t>Completed for this story</w:t>
      </w:r>
    </w:p>
    <w:tbl>
      <w:tblPr>
        <w:tblW w:type="dxa" w:w="9360"/>
        <w:tblLayout w:type="fixed"/>
        <w:tblLook w:firstColumn="1" w:firstRow="1" w:lastColumn="0" w:lastRow="0" w:noHBand="0" w:noVBand="1" w:val="04A0"/>
        <w:jc w:val="left"/>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605"/>
        <w:gridCol w:w="6624"/>
        <w:gridCol w:w="2131"/>
      </w:tblGrid>
      <w:tr>
        <w:trPr>
          <w:tblHeader w:val="true"/>
        </w:trPr>
        <w:tc>
          <w:tcPr>
            <w:tcW w:type="dxa" w:w="605"/>
            <w:tcMar>
              <w:top w:w="72" w:type="dxa"/>
              <w:start w:w="120" w:type="dxa"/>
              <w:bottom w:w="72" w:type="dxa"/>
              <w:end w:w="120" w:type="dxa"/>
            </w:tcMar>
            <w:vAlign w:val="center"/>
            <w:shd w:fill="F1F3F6"/>
          </w:tcPr>
          <w:p>
            <w:pPr>
              <w:spacing w:before="0" w:after="0" w:line="240" w:lineRule="auto"/>
              <w:jc w:val="left"/>
            </w:pPr>
            <w:r/>
            <w:r>
              <w:rPr>
                <w:rFonts w:ascii="Arial" w:hAnsi="Arial" w:eastAsia="Arial"/>
                <w:b/>
                <w:color w:val="0B2545"/>
                <w:sz w:val="19"/>
              </w:rPr>
              <w:t>Step</w:t>
            </w:r>
          </w:p>
        </w:tc>
        <w:tc>
          <w:tcPr>
            <w:tcW w:type="dxa" w:w="6624"/>
            <w:tcMar>
              <w:top w:w="72" w:type="dxa"/>
              <w:start w:w="120" w:type="dxa"/>
              <w:bottom w:w="72" w:type="dxa"/>
              <w:end w:w="120" w:type="dxa"/>
            </w:tcMar>
            <w:vAlign w:val="center"/>
            <w:shd w:fill="F1F3F6"/>
          </w:tcPr>
          <w:p>
            <w:pPr>
              <w:spacing w:before="0" w:after="0" w:line="240" w:lineRule="auto"/>
              <w:jc w:val="left"/>
            </w:pPr>
            <w:r/>
            <w:r>
              <w:rPr>
                <w:rFonts w:ascii="Arial" w:hAnsi="Arial" w:eastAsia="Arial"/>
                <w:b/>
                <w:color w:val="0B2545"/>
                <w:sz w:val="19"/>
              </w:rPr>
              <w:t>What was completed</w:t>
            </w:r>
          </w:p>
        </w:tc>
        <w:tc>
          <w:tcPr>
            <w:tcW w:type="dxa" w:w="2131"/>
            <w:tcMar>
              <w:top w:w="72" w:type="dxa"/>
              <w:start w:w="120" w:type="dxa"/>
              <w:bottom w:w="72" w:type="dxa"/>
              <w:end w:w="120" w:type="dxa"/>
            </w:tcMar>
            <w:vAlign w:val="center"/>
            <w:shd w:fill="F1F3F6"/>
          </w:tcPr>
          <w:p>
            <w:pPr>
              <w:spacing w:before="0" w:after="0" w:line="240" w:lineRule="auto"/>
              <w:jc w:val="left"/>
            </w:pPr>
            <w:r/>
            <w:r>
              <w:rPr>
                <w:rFonts w:ascii="Arial" w:hAnsi="Arial" w:eastAsia="Arial"/>
                <w:b/>
                <w:color w:val="0B2545"/>
                <w:sz w:val="19"/>
              </w:rPr>
              <w:t>Evidence state</w:t>
            </w:r>
          </w:p>
        </w:tc>
      </w:tr>
      <w:tr>
        <w:tc>
          <w:tcPr>
            <w:tcW w:type="dxa" w:w="605"/>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1</w:t>
            </w:r>
          </w:p>
        </w:tc>
        <w:tc>
          <w:tcPr>
            <w:tcW w:type="dxa" w:w="6624"/>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Connected to and identified the Flywire Partial sandbox used for the dry run.</w:t>
            </w:r>
          </w:p>
        </w:tc>
        <w:tc>
          <w:tcPr>
            <w:tcW w:type="dxa" w:w="2131"/>
            <w:shd w:fill="E5F3EF"/>
            <w:tcMar>
              <w:top w:w="72" w:type="dxa"/>
              <w:start w:w="120" w:type="dxa"/>
              <w:bottom w:w="72" w:type="dxa"/>
              <w:end w:w="120" w:type="dxa"/>
            </w:tcMar>
            <w:vAlign w:val="center"/>
          </w:tcPr>
          <w:p>
            <w:pPr>
              <w:spacing w:before="0" w:after="0" w:line="240" w:lineRule="auto"/>
              <w:jc w:val="center"/>
            </w:pPr>
            <w:r/>
            <w:r>
              <w:rPr>
                <w:rFonts w:ascii="Arial" w:hAnsi="Arial" w:eastAsia="Arial"/>
                <w:b/>
                <w:color w:val="168A73"/>
                <w:sz w:val="18"/>
              </w:rPr>
              <w:t>Confirmed</w:t>
            </w:r>
          </w:p>
        </w:tc>
      </w:tr>
      <w:tr>
        <w:tc>
          <w:tcPr>
            <w:tcW w:type="dxa" w:w="605"/>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2</w:t>
            </w:r>
          </w:p>
        </w:tc>
        <w:tc>
          <w:tcPr>
            <w:tcW w:type="dxa" w:w="6624"/>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Reviewed Gong Admin Center &gt; Salesforce &gt; Connection.</w:t>
            </w:r>
          </w:p>
        </w:tc>
        <w:tc>
          <w:tcPr>
            <w:tcW w:type="dxa" w:w="2131"/>
            <w:shd w:fill="E5F3EF"/>
            <w:tcMar>
              <w:top w:w="72" w:type="dxa"/>
              <w:start w:w="120" w:type="dxa"/>
              <w:bottom w:w="72" w:type="dxa"/>
              <w:end w:w="120" w:type="dxa"/>
            </w:tcMar>
            <w:vAlign w:val="center"/>
          </w:tcPr>
          <w:p>
            <w:pPr>
              <w:spacing w:before="0" w:after="0" w:line="240" w:lineRule="auto"/>
              <w:jc w:val="center"/>
            </w:pPr>
            <w:r/>
            <w:r>
              <w:rPr>
                <w:rFonts w:ascii="Arial" w:hAnsi="Arial" w:eastAsia="Arial"/>
                <w:b/>
                <w:color w:val="168A73"/>
                <w:sz w:val="18"/>
              </w:rPr>
              <w:t>Confirmed</w:t>
            </w:r>
          </w:p>
        </w:tc>
      </w:tr>
      <w:tr>
        <w:tc>
          <w:tcPr>
            <w:tcW w:type="dxa" w:w="605"/>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3</w:t>
            </w:r>
          </w:p>
        </w:tc>
        <w:tc>
          <w:tcPr>
            <w:tcW w:type="dxa" w:w="6624"/>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Confirmed the existing integration user ada+gong@flywire.com and recent Account/Contact imports.</w:t>
            </w:r>
          </w:p>
        </w:tc>
        <w:tc>
          <w:tcPr>
            <w:tcW w:type="dxa" w:w="2131"/>
            <w:shd w:fill="E5F3EF"/>
            <w:tcMar>
              <w:top w:w="72" w:type="dxa"/>
              <w:start w:w="120" w:type="dxa"/>
              <w:bottom w:w="72" w:type="dxa"/>
              <w:end w:w="120" w:type="dxa"/>
            </w:tcMar>
            <w:vAlign w:val="center"/>
          </w:tcPr>
          <w:p>
            <w:pPr>
              <w:spacing w:before="0" w:after="0" w:line="240" w:lineRule="auto"/>
              <w:jc w:val="center"/>
            </w:pPr>
            <w:r/>
            <w:r>
              <w:rPr>
                <w:rFonts w:ascii="Arial" w:hAnsi="Arial" w:eastAsia="Arial"/>
                <w:b/>
                <w:color w:val="168A73"/>
                <w:sz w:val="18"/>
              </w:rPr>
              <w:t>Confirmed</w:t>
            </w:r>
          </w:p>
        </w:tc>
      </w:tr>
      <w:tr>
        <w:tc>
          <w:tcPr>
            <w:tcW w:type="dxa" w:w="605"/>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4</w:t>
            </w:r>
          </w:p>
        </w:tc>
        <w:tc>
          <w:tcPr>
            <w:tcW w:type="dxa" w:w="6624"/>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Installed/verified Gong ECA in Salesforce Setup &gt; Installed Packages.</w:t>
            </w:r>
          </w:p>
        </w:tc>
        <w:tc>
          <w:tcPr>
            <w:tcW w:type="dxa" w:w="2131"/>
            <w:shd w:fill="E5F3EF"/>
            <w:tcMar>
              <w:top w:w="72" w:type="dxa"/>
              <w:start w:w="120" w:type="dxa"/>
              <w:bottom w:w="72" w:type="dxa"/>
              <w:end w:w="120" w:type="dxa"/>
            </w:tcMar>
            <w:vAlign w:val="center"/>
          </w:tcPr>
          <w:p>
            <w:pPr>
              <w:spacing w:before="0" w:after="0" w:line="240" w:lineRule="auto"/>
              <w:jc w:val="center"/>
            </w:pPr>
            <w:r/>
            <w:r>
              <w:rPr>
                <w:rFonts w:ascii="Arial" w:hAnsi="Arial" w:eastAsia="Arial"/>
                <w:b/>
                <w:color w:val="168A73"/>
                <w:sz w:val="18"/>
              </w:rPr>
              <w:t>Confirmed</w:t>
            </w:r>
          </w:p>
        </w:tc>
      </w:tr>
      <w:tr>
        <w:tc>
          <w:tcPr>
            <w:tcW w:type="dxa" w:w="605"/>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5</w:t>
            </w:r>
          </w:p>
        </w:tc>
        <w:tc>
          <w:tcPr>
            <w:tcW w:type="dxa" w:w="6624"/>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Prepared safe package-verification and Salesforce-login instructions for David.</w:t>
            </w:r>
          </w:p>
        </w:tc>
        <w:tc>
          <w:tcPr>
            <w:tcW w:type="dxa" w:w="2131"/>
            <w:shd w:fill="E5F3EF"/>
            <w:tcMar>
              <w:top w:w="72" w:type="dxa"/>
              <w:start w:w="120" w:type="dxa"/>
              <w:bottom w:w="72" w:type="dxa"/>
              <w:end w:w="120" w:type="dxa"/>
            </w:tcMar>
            <w:vAlign w:val="center"/>
          </w:tcPr>
          <w:p>
            <w:pPr>
              <w:spacing w:before="0" w:after="0" w:line="240" w:lineRule="auto"/>
              <w:jc w:val="center"/>
            </w:pPr>
            <w:r/>
            <w:r>
              <w:rPr>
                <w:rFonts w:ascii="Arial" w:hAnsi="Arial" w:eastAsia="Arial"/>
                <w:b/>
                <w:color w:val="168A73"/>
                <w:sz w:val="18"/>
              </w:rPr>
              <w:t>Confirmed</w:t>
            </w:r>
          </w:p>
        </w:tc>
      </w:tr>
      <w:tr>
        <w:tc>
          <w:tcPr>
            <w:tcW w:type="dxa" w:w="605"/>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6</w:t>
            </w:r>
          </w:p>
        </w:tc>
        <w:tc>
          <w:tcPr>
            <w:tcW w:type="dxa" w:w="6624"/>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Defined the authorization stop point, evidence checklist, troubleshooting, and closure criteria.</w:t>
            </w:r>
          </w:p>
        </w:tc>
        <w:tc>
          <w:tcPr>
            <w:tcW w:type="dxa" w:w="2131"/>
            <w:tcMar>
              <w:top w:w="72" w:type="dxa"/>
              <w:start w:w="120" w:type="dxa"/>
              <w:bottom w:w="72" w:type="dxa"/>
              <w:end w:w="120" w:type="dxa"/>
            </w:tcMar>
            <w:vAlign w:val="center"/>
          </w:tcPr>
          <w:p>
            <w:pPr>
              <w:spacing w:before="0" w:after="0" w:line="240" w:lineRule="auto"/>
              <w:jc w:val="center"/>
            </w:pPr>
            <w:r/>
            <w:r>
              <w:rPr>
                <w:rFonts w:ascii="Arial" w:hAnsi="Arial" w:eastAsia="Arial"/>
                <w:b/>
                <w:color w:val="263445"/>
                <w:sz w:val="18"/>
              </w:rPr>
              <w:t>Ready</w:t>
            </w:r>
          </w:p>
        </w:tc>
      </w:tr>
    </w:tbl>
    <w:p>
      <w:pPr>
        <w:spacing w:after="0" w:before="20"/>
      </w:pPr>
    </w:p>
    <w:p>
      <w:pPr>
        <w:spacing w:after="60"/>
        <w:jc w:val="center"/>
      </w:pPr>
      <w:r>
        <w:drawing>
          <wp:inline xmlns:a="http://schemas.openxmlformats.org/drawingml/2006/main" xmlns:pic="http://schemas.openxmlformats.org/drawingml/2006/picture">
            <wp:extent cx="5870448" cy="3013497"/>
            <wp:docPr id="1" name="Picture 1" descr="Four-stage SALDEV-1469 verification path from package evidence through authorization review to completion proof" title="SALDEV-1469 controlled verification path"/>
            <wp:cNvGraphicFramePr>
              <a:graphicFrameLocks noChangeAspect="1"/>
            </wp:cNvGraphicFramePr>
            <a:graphic>
              <a:graphicData uri="http://schemas.openxmlformats.org/drawingml/2006/picture">
                <pic:pic>
                  <pic:nvPicPr>
                    <pic:cNvPr id="0" name="saldev-1469-verification-path.png"/>
                    <pic:cNvPicPr/>
                  </pic:nvPicPr>
                  <pic:blipFill>
                    <a:blip r:embed="rId17"/>
                    <a:stretch>
                      <a:fillRect/>
                    </a:stretch>
                  </pic:blipFill>
                  <pic:spPr>
                    <a:xfrm>
                      <a:off x="0" y="0"/>
                      <a:ext cx="5870448" cy="3013497"/>
                    </a:xfrm>
                    <a:prstGeom prst="rect"/>
                  </pic:spPr>
                </pic:pic>
              </a:graphicData>
            </a:graphic>
          </wp:inline>
        </w:drawing>
      </w:r>
    </w:p>
    <w:p>
      <w:pPr>
        <w:jc w:val="center"/>
      </w:pPr>
      <w:r>
        <w:rPr>
          <w:rFonts w:ascii="Arial" w:hAnsi="Arial" w:eastAsia="Arial"/>
          <w:i/>
          <w:color w:val="5E6B7E"/>
          <w:sz w:val="20"/>
        </w:rPr>
        <w:t>Figure 1. Controlled package and sign-in verification path</w:t>
      </w:r>
    </w:p>
    <w:tbl>
      <w:tblPr>
        <w:tblW w:type="dxa" w:w="9360"/>
        <w:jc w:val="left"/>
        <w:tblLayout w:type="fixed"/>
        <w:tblLook w:firstColumn="1" w:firstRow="1" w:lastColumn="0" w:lastRow="0" w:noHBand="0" w:noVBand="1" w:val="04A0"/>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9360"/>
      </w:tblGrid>
      <w:tr>
        <w:tc>
          <w:tcPr>
            <w:tcW w:type="dxa" w:w="9360"/>
            <w:tcMar>
              <w:top w:w="110" w:type="dxa"/>
              <w:start w:w="140" w:type="dxa"/>
              <w:bottom w:w="110" w:type="dxa"/>
              <w:end w:w="140" w:type="dxa"/>
            </w:tcMar>
            <w:vAlign w:val="center"/>
            <w:shd w:fill="EAF2FB"/>
          </w:tcPr>
          <w:p>
            <w:pPr>
              <w:spacing w:after="60"/>
            </w:pPr>
            <w:r>
              <w:rPr>
                <w:rFonts w:ascii="Arial" w:hAnsi="Arial" w:eastAsia="Arial"/>
                <w:b/>
                <w:color w:val="2E75B6"/>
                <w:sz w:val="19"/>
              </w:rPr>
              <w:t>IMPORTANT DISTINCTION</w:t>
            </w:r>
          </w:p>
          <w:p>
            <w:pPr>
              <w:spacing w:before="0" w:after="0" w:line="240" w:lineRule="auto"/>
            </w:pPr>
            <w:r>
              <w:rPr>
                <w:rFonts w:ascii="Arial" w:hAnsi="Arial" w:eastAsia="Arial"/>
                <w:b/>
                <w:color w:val="0B2545"/>
                <w:sz w:val="22"/>
              </w:rPr>
              <w:t>The Gong ECA supports Salesforce authentication/security. The existing Gong-to-Salesforce CRM import connection uses ada+gong@flywire.com. Do not disconnect, reconnect, uninstall, or change that integration while testing user sign-in.</w:t>
            </w:r>
          </w:p>
        </w:tc>
      </w:tr>
    </w:tbl>
    <w:p>
      <w:pPr>
        <w:spacing w:after="0" w:before="20"/>
      </w:pPr>
    </w:p>
    <w:p>
      <w:r>
        <w:br w:type="page"/>
      </w:r>
    </w:p>
    <w:p>
      <w:pPr>
        <w:pStyle w:val="Heading1"/>
        <w:keepNext/>
        <w:pageBreakBefore w:val="0"/>
      </w:pPr>
      <w:r>
        <w:rPr>
          <w:rFonts w:ascii="Arial" w:hAnsi="Arial" w:eastAsia="Arial"/>
          <w:b/>
          <w:color w:val="2E75B6"/>
          <w:sz w:val="33"/>
        </w:rPr>
        <w:t>Installed package evidence and David verification</w:t>
      </w:r>
    </w:p>
    <w:p>
      <w:pPr>
        <w:spacing w:after="60"/>
      </w:pPr>
      <w:r>
        <w:rPr>
          <w:rFonts w:ascii="Arial" w:hAnsi="Arial" w:eastAsia="Arial"/>
          <w:b/>
          <w:color w:val="0B2545"/>
          <w:sz w:val="21"/>
        </w:rPr>
        <w:t xml:space="preserve">Open FlywirePartial Installed Packages: </w:t>
      </w:r>
      <w:hyperlink r:id="rId18">
        <w:r>
          <w:rPr>
            <w:rFonts w:ascii="Arial" w:hAnsi="Arial"/>
            <w:color w:val="2E75B6"/>
            <w:u w:val="single"/>
            <w:sz w:val="21"/>
          </w:rPr>
          <w:t>https://flywire--partial.sandbox.lightning.force.com/lightning/setup/ImportedPackage/home</w:t>
        </w:r>
      </w:hyperlink>
    </w:p>
    <w:p>
      <w:pPr>
        <w:pStyle w:val="Heading2"/>
        <w:keepNext/>
        <w:pageBreakBefore w:val="0"/>
      </w:pPr>
      <w:r>
        <w:rPr>
          <w:rFonts w:ascii="Arial" w:hAnsi="Arial" w:eastAsia="Arial"/>
          <w:b/>
          <w:color w:val="2E75B6"/>
          <w:sz w:val="26"/>
        </w:rPr>
        <w:t>Observed package identity</w:t>
      </w:r>
    </w:p>
    <w:tbl>
      <w:tblPr>
        <w:tblW w:type="dxa" w:w="9360"/>
        <w:tblLayout w:type="fixed"/>
        <w:tblLook w:firstColumn="1" w:firstRow="1" w:lastColumn="0" w:lastRow="0" w:noHBand="0" w:noVBand="1" w:val="04A0"/>
        <w:jc w:val="left"/>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088"/>
        <w:gridCol w:w="3096"/>
        <w:gridCol w:w="4176"/>
      </w:tblGrid>
      <w:tr>
        <w:trPr>
          <w:tblHeader w:val="true"/>
        </w:trPr>
        <w:tc>
          <w:tcPr>
            <w:tcW w:type="dxa" w:w="2088"/>
            <w:tcMar>
              <w:top w:w="72" w:type="dxa"/>
              <w:start w:w="120" w:type="dxa"/>
              <w:bottom w:w="72" w:type="dxa"/>
              <w:end w:w="120" w:type="dxa"/>
            </w:tcMar>
            <w:vAlign w:val="center"/>
            <w:shd w:fill="F1F3F6"/>
          </w:tcPr>
          <w:p>
            <w:pPr>
              <w:spacing w:before="0" w:after="0" w:line="240" w:lineRule="auto"/>
              <w:jc w:val="left"/>
            </w:pPr>
            <w:r/>
            <w:r>
              <w:rPr>
                <w:rFonts w:ascii="Arial" w:hAnsi="Arial" w:eastAsia="Arial"/>
                <w:b/>
                <w:color w:val="0B2545"/>
                <w:sz w:val="19"/>
              </w:rPr>
              <w:t>Field</w:t>
            </w:r>
          </w:p>
        </w:tc>
        <w:tc>
          <w:tcPr>
            <w:tcW w:type="dxa" w:w="3096"/>
            <w:tcMar>
              <w:top w:w="72" w:type="dxa"/>
              <w:start w:w="120" w:type="dxa"/>
              <w:bottom w:w="72" w:type="dxa"/>
              <w:end w:w="120" w:type="dxa"/>
            </w:tcMar>
            <w:vAlign w:val="center"/>
            <w:shd w:fill="F1F3F6"/>
          </w:tcPr>
          <w:p>
            <w:pPr>
              <w:spacing w:before="0" w:after="0" w:line="240" w:lineRule="auto"/>
              <w:jc w:val="left"/>
            </w:pPr>
            <w:r/>
            <w:r>
              <w:rPr>
                <w:rFonts w:ascii="Arial" w:hAnsi="Arial" w:eastAsia="Arial"/>
                <w:b/>
                <w:color w:val="0B2545"/>
                <w:sz w:val="19"/>
              </w:rPr>
              <w:t>Expected / observed value</w:t>
            </w:r>
          </w:p>
        </w:tc>
        <w:tc>
          <w:tcPr>
            <w:tcW w:type="dxa" w:w="4176"/>
            <w:tcMar>
              <w:top w:w="72" w:type="dxa"/>
              <w:start w:w="120" w:type="dxa"/>
              <w:bottom w:w="72" w:type="dxa"/>
              <w:end w:w="120" w:type="dxa"/>
            </w:tcMar>
            <w:vAlign w:val="center"/>
            <w:shd w:fill="F1F3F6"/>
          </w:tcPr>
          <w:p>
            <w:pPr>
              <w:spacing w:before="0" w:after="0" w:line="240" w:lineRule="auto"/>
              <w:jc w:val="left"/>
            </w:pPr>
            <w:r/>
            <w:r>
              <w:rPr>
                <w:rFonts w:ascii="Arial" w:hAnsi="Arial" w:eastAsia="Arial"/>
                <w:b/>
                <w:color w:val="0B2545"/>
                <w:sz w:val="19"/>
              </w:rPr>
              <w:t>Verification rule</w:t>
            </w:r>
          </w:p>
        </w:tc>
      </w:tr>
      <w:tr>
        <w:tc>
          <w:tcPr>
            <w:tcW w:type="dxa" w:w="2088"/>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Package name</w:t>
            </w:r>
          </w:p>
        </w:tc>
        <w:tc>
          <w:tcPr>
            <w:tcW w:type="dxa" w:w="3096"/>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Gong ECA</w:t>
            </w:r>
          </w:p>
        </w:tc>
        <w:tc>
          <w:tcPr>
            <w:tcW w:type="dxa" w:w="4176"/>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Must match exactly.</w:t>
            </w:r>
          </w:p>
        </w:tc>
      </w:tr>
      <w:tr>
        <w:tc>
          <w:tcPr>
            <w:tcW w:type="dxa" w:w="2088"/>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Version</w:t>
            </w:r>
          </w:p>
        </w:tc>
        <w:tc>
          <w:tcPr>
            <w:tcW w:type="dxa" w:w="3096"/>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0.1</w:t>
            </w:r>
          </w:p>
        </w:tc>
        <w:tc>
          <w:tcPr>
            <w:tcW w:type="dxa" w:w="4176"/>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Must match the installed-package detail page.</w:t>
            </w:r>
          </w:p>
        </w:tc>
      </w:tr>
      <w:tr>
        <w:tc>
          <w:tcPr>
            <w:tcW w:type="dxa" w:w="2088"/>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Namespace prefix</w:t>
            </w:r>
          </w:p>
        </w:tc>
        <w:tc>
          <w:tcPr>
            <w:tcW w:type="dxa" w:w="3096"/>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gongeca</w:t>
            </w:r>
          </w:p>
        </w:tc>
        <w:tc>
          <w:tcPr>
            <w:tcW w:type="dxa" w:w="4176"/>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Must match exactly; do not infer from the display name.</w:t>
            </w:r>
          </w:p>
        </w:tc>
      </w:tr>
      <w:tr>
        <w:tc>
          <w:tcPr>
            <w:tcW w:type="dxa" w:w="2088"/>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Package ID</w:t>
            </w:r>
          </w:p>
        </w:tc>
        <w:tc>
          <w:tcPr>
            <w:tcW w:type="dxa" w:w="3096"/>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0337y000005iObdAAE</w:t>
            </w:r>
          </w:p>
        </w:tc>
        <w:tc>
          <w:tcPr>
            <w:tcW w:type="dxa" w:w="4176"/>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Use the full 18-character ID for the record.</w:t>
            </w:r>
          </w:p>
        </w:tc>
      </w:tr>
      <w:tr>
        <w:tc>
          <w:tcPr>
            <w:tcW w:type="dxa" w:w="2088"/>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Package type</w:t>
            </w:r>
          </w:p>
        </w:tc>
        <w:tc>
          <w:tcPr>
            <w:tcW w:type="dxa" w:w="3096"/>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Managed</w:t>
            </w:r>
          </w:p>
        </w:tc>
        <w:tc>
          <w:tcPr>
            <w:tcW w:type="dxa" w:w="4176"/>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Observed on the installed-package page.</w:t>
            </w:r>
          </w:p>
        </w:tc>
      </w:tr>
      <w:tr>
        <w:tc>
          <w:tcPr>
            <w:tcW w:type="dxa" w:w="2088"/>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Packaging model</w:t>
            </w:r>
          </w:p>
        </w:tc>
        <w:tc>
          <w:tcPr>
            <w:tcW w:type="dxa" w:w="3096"/>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2GP</w:t>
            </w:r>
          </w:p>
        </w:tc>
        <w:tc>
          <w:tcPr>
            <w:tcW w:type="dxa" w:w="4176"/>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Observed on the installed-package page.</w:t>
            </w:r>
          </w:p>
        </w:tc>
      </w:tr>
      <w:tr>
        <w:tc>
          <w:tcPr>
            <w:tcW w:type="dxa" w:w="2088"/>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Installed by / time</w:t>
            </w:r>
          </w:p>
        </w:tc>
        <w:tc>
          <w:tcPr>
            <w:tcW w:type="dxa" w:w="3096"/>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David Okolo | 27 Aug 2026, 3:08 PM</w:t>
            </w:r>
          </w:p>
        </w:tc>
        <w:tc>
          <w:tcPr>
            <w:tcW w:type="dxa" w:w="4176"/>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Screenshot evidence; confirm if the live page differs.</w:t>
            </w:r>
          </w:p>
        </w:tc>
      </w:tr>
      <w:tr>
        <w:tc>
          <w:tcPr>
            <w:tcW w:type="dxa" w:w="2088"/>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Target org</w:t>
            </w:r>
          </w:p>
        </w:tc>
        <w:tc>
          <w:tcPr>
            <w:tcW w:type="dxa" w:w="3096"/>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Sandbox (Partial)</w:t>
            </w:r>
          </w:p>
        </w:tc>
        <w:tc>
          <w:tcPr>
            <w:tcW w:type="dxa" w:w="4176"/>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The sandbox banner/domain must be visible.</w:t>
            </w:r>
          </w:p>
        </w:tc>
      </w:tr>
    </w:tbl>
    <w:p>
      <w:pPr>
        <w:spacing w:after="0" w:before="20"/>
      </w:pPr>
    </w:p>
    <w:p>
      <w:pPr>
        <w:pStyle w:val="Heading2"/>
        <w:keepNext/>
        <w:pageBreakBefore w:val="0"/>
      </w:pPr>
      <w:r>
        <w:rPr>
          <w:rFonts w:ascii="Arial" w:hAnsi="Arial" w:eastAsia="Arial"/>
          <w:b/>
          <w:color w:val="2E75B6"/>
          <w:sz w:val="26"/>
        </w:rPr>
        <w:t>What David should do on Zoom</w:t>
      </w:r>
    </w:p>
    <w:p>
      <w:pPr>
        <w:pStyle w:val="ListBullet"/>
        <w:spacing w:before="0" w:after="60"/>
        <w:ind w:left="360" w:hanging="216"/>
      </w:pPr>
      <w:r>
        <w:rPr>
          <w:rFonts w:ascii="Arial" w:hAnsi="Arial" w:eastAsia="Arial"/>
          <w:color w:val="263445"/>
          <w:sz w:val="21"/>
        </w:rPr>
        <w:t>Open the Installed Packages link while signed in to the Flywire Partial sandbox.</w:t>
      </w:r>
    </w:p>
    <w:p>
      <w:pPr>
        <w:pStyle w:val="ListBullet"/>
        <w:spacing w:before="0" w:after="60"/>
        <w:ind w:left="360" w:hanging="216"/>
      </w:pPr>
      <w:r>
        <w:rPr>
          <w:rFonts w:ascii="Arial" w:hAnsi="Arial" w:eastAsia="Arial"/>
          <w:color w:val="263445"/>
          <w:sz w:val="21"/>
        </w:rPr>
        <w:t>Open Gong ECA and share the package detail page on screen.</w:t>
      </w:r>
    </w:p>
    <w:p>
      <w:pPr>
        <w:pStyle w:val="ListBullet"/>
        <w:spacing w:before="0" w:after="60"/>
        <w:ind w:left="360" w:hanging="216"/>
      </w:pPr>
      <w:r>
        <w:rPr>
          <w:rFonts w:ascii="Arial" w:hAnsi="Arial" w:eastAsia="Arial"/>
          <w:color w:val="263445"/>
          <w:sz w:val="21"/>
        </w:rPr>
        <w:t>Confirm the package name, version, namespace, package ID, and Sandbox (Partial) context.</w:t>
      </w:r>
    </w:p>
    <w:p>
      <w:pPr>
        <w:pStyle w:val="ListBullet"/>
        <w:spacing w:before="0" w:after="60"/>
        <w:ind w:left="360" w:hanging="216"/>
      </w:pPr>
      <w:r>
        <w:rPr>
          <w:rFonts w:ascii="Arial" w:hAnsi="Arial" w:eastAsia="Arial"/>
          <w:color w:val="263445"/>
          <w:sz w:val="21"/>
        </w:rPr>
        <w:t>Capture a screenshot that includes the org banner and package values but excludes session tokens, browser storage, or sensitive URLs.</w:t>
      </w:r>
    </w:p>
    <w:p>
      <w:pPr>
        <w:pStyle w:val="ListBullet"/>
        <w:spacing w:before="0" w:after="60"/>
        <w:ind w:left="360" w:hanging="216"/>
      </w:pPr>
      <w:r>
        <w:rPr>
          <w:rFonts w:ascii="Arial" w:hAnsi="Arial" w:eastAsia="Arial"/>
          <w:color w:val="263445"/>
          <w:sz w:val="21"/>
        </w:rPr>
        <w:t>If any value differs, stop and record the mismatch; do not uninstall or reinstall without a separate approved action plan.</w:t>
      </w:r>
    </w:p>
    <w:tbl>
      <w:tblPr>
        <w:tblW w:type="dxa" w:w="9360"/>
        <w:jc w:val="left"/>
        <w:tblLayout w:type="fixed"/>
        <w:tblLook w:firstColumn="1" w:firstRow="1" w:lastColumn="0" w:lastRow="0" w:noHBand="0" w:noVBand="1" w:val="04A0"/>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9360"/>
      </w:tblGrid>
      <w:tr>
        <w:tc>
          <w:tcPr>
            <w:tcW w:type="dxa" w:w="9360"/>
            <w:tcMar>
              <w:top w:w="110" w:type="dxa"/>
              <w:start w:w="140" w:type="dxa"/>
              <w:bottom w:w="110" w:type="dxa"/>
              <w:end w:w="140" w:type="dxa"/>
            </w:tcMar>
            <w:vAlign w:val="center"/>
            <w:shd w:fill="E5F3EF"/>
          </w:tcPr>
          <w:p>
            <w:pPr>
              <w:spacing w:after="60"/>
            </w:pPr>
            <w:r>
              <w:rPr>
                <w:rFonts w:ascii="Arial" w:hAnsi="Arial" w:eastAsia="Arial"/>
                <w:b/>
                <w:color w:val="168A73"/>
                <w:sz w:val="19"/>
              </w:rPr>
              <w:t>PACKAGE CHECKPOINT</w:t>
            </w:r>
          </w:p>
          <w:p>
            <w:pPr>
              <w:spacing w:before="0" w:after="0" w:line="240" w:lineRule="auto"/>
            </w:pPr>
            <w:r>
              <w:rPr>
                <w:rFonts w:ascii="Arial" w:hAnsi="Arial" w:eastAsia="Arial"/>
                <w:b/>
                <w:color w:val="0B2545"/>
                <w:sz w:val="22"/>
              </w:rPr>
              <w:t>Pass only when all four identity fields match: Gong ECA, version 0.1, namespace gongeca, and package ID 0337y000005iObdAAE in Sandbox (Partial).</w:t>
            </w:r>
          </w:p>
        </w:tc>
      </w:tr>
    </w:tbl>
    <w:p>
      <w:pPr>
        <w:spacing w:after="0" w:before="20"/>
      </w:pPr>
    </w:p>
    <w:p>
      <w:r>
        <w:br w:type="page"/>
      </w:r>
    </w:p>
    <w:p>
      <w:pPr>
        <w:pStyle w:val="Heading1"/>
        <w:keepNext/>
        <w:pageBreakBefore w:val="0"/>
      </w:pPr>
      <w:r>
        <w:rPr>
          <w:rFonts w:ascii="Arial" w:hAnsi="Arial" w:eastAsia="Arial"/>
          <w:b/>
          <w:color w:val="2E75B6"/>
          <w:sz w:val="33"/>
        </w:rPr>
        <w:t>Controlled Gong Salesforce sign-in test</w:t>
      </w:r>
    </w:p>
    <w:p>
      <w:pPr>
        <w:spacing w:after="60"/>
      </w:pPr>
      <w:r>
        <w:rPr>
          <w:rFonts w:ascii="Arial" w:hAnsi="Arial" w:eastAsia="Arial"/>
          <w:b/>
          <w:color w:val="0B2545"/>
          <w:sz w:val="21"/>
        </w:rPr>
        <w:t xml:space="preserve">Open Gong sign-in: </w:t>
      </w:r>
      <w:hyperlink r:id="rId19">
        <w:r>
          <w:rPr>
            <w:rFonts w:ascii="Arial" w:hAnsi="Arial"/>
            <w:color w:val="2E75B6"/>
            <w:u w:val="single"/>
            <w:sz w:val="21"/>
          </w:rPr>
          <w:t>https://us-4592.app.gong.io/welcome/sign-in?targeturl=%2Fhome</w:t>
        </w:r>
      </w:hyperlink>
    </w:p>
    <w:tbl>
      <w:tblPr>
        <w:tblW w:type="dxa" w:w="9360"/>
        <w:tblLayout w:type="fixed"/>
        <w:tblLook w:firstColumn="1" w:firstRow="1" w:lastColumn="0" w:lastRow="0" w:noHBand="0" w:noVBand="1" w:val="04A0"/>
        <w:jc w:val="left"/>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90"/>
        <w:gridCol w:w="4550"/>
        <w:gridCol w:w="4320"/>
      </w:tblGrid>
      <w:tr>
        <w:trPr>
          <w:tblHeader w:val="true"/>
        </w:trPr>
        <w:tc>
          <w:tcPr>
            <w:tcW w:type="dxa" w:w="490"/>
            <w:tcMar>
              <w:top w:w="72" w:type="dxa"/>
              <w:start w:w="120" w:type="dxa"/>
              <w:bottom w:w="72" w:type="dxa"/>
              <w:end w:w="120" w:type="dxa"/>
            </w:tcMar>
            <w:vAlign w:val="center"/>
            <w:shd w:fill="F1F3F6"/>
          </w:tcPr>
          <w:p>
            <w:pPr>
              <w:spacing w:before="0" w:after="0" w:line="240" w:lineRule="auto"/>
              <w:jc w:val="left"/>
            </w:pPr>
            <w:r/>
            <w:r>
              <w:rPr>
                <w:rFonts w:ascii="Arial" w:hAnsi="Arial" w:eastAsia="Arial"/>
                <w:b/>
                <w:color w:val="0B2545"/>
                <w:sz w:val="19"/>
              </w:rPr>
              <w:t>#</w:t>
            </w:r>
          </w:p>
        </w:tc>
        <w:tc>
          <w:tcPr>
            <w:tcW w:type="dxa" w:w="4550"/>
            <w:tcMar>
              <w:top w:w="72" w:type="dxa"/>
              <w:start w:w="120" w:type="dxa"/>
              <w:bottom w:w="72" w:type="dxa"/>
              <w:end w:w="120" w:type="dxa"/>
            </w:tcMar>
            <w:vAlign w:val="center"/>
            <w:shd w:fill="F1F3F6"/>
          </w:tcPr>
          <w:p>
            <w:pPr>
              <w:spacing w:before="0" w:after="0" w:line="240" w:lineRule="auto"/>
              <w:jc w:val="left"/>
            </w:pPr>
            <w:r/>
            <w:r>
              <w:rPr>
                <w:rFonts w:ascii="Arial" w:hAnsi="Arial" w:eastAsia="Arial"/>
                <w:b/>
                <w:color w:val="0B2545"/>
                <w:sz w:val="19"/>
              </w:rPr>
              <w:t>Action</w:t>
            </w:r>
          </w:p>
        </w:tc>
        <w:tc>
          <w:tcPr>
            <w:tcW w:type="dxa" w:w="4320"/>
            <w:tcMar>
              <w:top w:w="72" w:type="dxa"/>
              <w:start w:w="120" w:type="dxa"/>
              <w:bottom w:w="72" w:type="dxa"/>
              <w:end w:w="120" w:type="dxa"/>
            </w:tcMar>
            <w:vAlign w:val="center"/>
            <w:shd w:fill="F1F3F6"/>
          </w:tcPr>
          <w:p>
            <w:pPr>
              <w:spacing w:before="0" w:after="0" w:line="240" w:lineRule="auto"/>
              <w:jc w:val="left"/>
            </w:pPr>
            <w:r/>
            <w:r>
              <w:rPr>
                <w:rFonts w:ascii="Arial" w:hAnsi="Arial" w:eastAsia="Arial"/>
                <w:b/>
                <w:color w:val="0B2545"/>
                <w:sz w:val="19"/>
              </w:rPr>
              <w:t>Expected evidence</w:t>
            </w:r>
          </w:p>
        </w:tc>
      </w:tr>
      <w:tr>
        <w:tc>
          <w:tcPr>
            <w:tcW w:type="dxa" w:w="490"/>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1</w:t>
            </w:r>
          </w:p>
        </w:tc>
        <w:tc>
          <w:tcPr>
            <w:tcW w:type="dxa" w:w="4550"/>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Open the Gong sign-in link in a new tab while screen sharing.</w:t>
            </w:r>
          </w:p>
        </w:tc>
        <w:tc>
          <w:tcPr>
            <w:tcW w:type="dxa" w:w="4320"/>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The URL is the stable Gong sign-in page, not an OAuth callback URL.</w:t>
            </w:r>
          </w:p>
        </w:tc>
      </w:tr>
      <w:tr>
        <w:tc>
          <w:tcPr>
            <w:tcW w:type="dxa" w:w="490"/>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2</w:t>
            </w:r>
          </w:p>
        </w:tc>
        <w:tc>
          <w:tcPr>
            <w:tcW w:type="dxa" w:w="4550"/>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Select Sign in with Salesforce.</w:t>
            </w:r>
          </w:p>
        </w:tc>
        <w:tc>
          <w:tcPr>
            <w:tcW w:type="dxa" w:w="4320"/>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Salesforce authentication begins.</w:t>
            </w:r>
          </w:p>
        </w:tc>
      </w:tr>
      <w:tr>
        <w:tc>
          <w:tcPr>
            <w:tcW w:type="dxa" w:w="490"/>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3</w:t>
            </w:r>
          </w:p>
        </w:tc>
        <w:tc>
          <w:tcPr>
            <w:tcW w:type="dxa" w:w="4550"/>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If prompted, choose Use Custom Domain.</w:t>
            </w:r>
          </w:p>
        </w:tc>
        <w:tc>
          <w:tcPr>
            <w:tcW w:type="dxa" w:w="4320"/>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A Salesforce custom-domain field is displayed.</w:t>
            </w:r>
          </w:p>
        </w:tc>
      </w:tr>
      <w:tr>
        <w:tc>
          <w:tcPr>
            <w:tcW w:type="dxa" w:w="490"/>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4</w:t>
            </w:r>
          </w:p>
        </w:tc>
        <w:tc>
          <w:tcPr>
            <w:tcW w:type="dxa" w:w="4550"/>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Enter flywire--partial.sandbox.</w:t>
            </w:r>
          </w:p>
        </w:tc>
        <w:tc>
          <w:tcPr>
            <w:tcW w:type="dxa" w:w="4320"/>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The browser routes to the Flywire Partial sandbox domain.</w:t>
            </w:r>
          </w:p>
        </w:tc>
      </w:tr>
      <w:tr>
        <w:tc>
          <w:tcPr>
            <w:tcW w:type="dxa" w:w="490"/>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5</w:t>
            </w:r>
          </w:p>
        </w:tc>
        <w:tc>
          <w:tcPr>
            <w:tcW w:type="dxa" w:w="4550"/>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Confirm the org is Sandbox (Partial), not Production.</w:t>
            </w:r>
          </w:p>
        </w:tc>
        <w:tc>
          <w:tcPr>
            <w:tcW w:type="dxa" w:w="4320"/>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Sandbox branding/domain is visible before continuing.</w:t>
            </w:r>
          </w:p>
        </w:tc>
      </w:tr>
      <w:tr>
        <w:tc>
          <w:tcPr>
            <w:tcW w:type="dxa" w:w="490"/>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6</w:t>
            </w:r>
          </w:p>
        </w:tc>
        <w:tc>
          <w:tcPr>
            <w:tcW w:type="dxa" w:w="4550"/>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Stop at the Allow/Authorization page.</w:t>
            </w:r>
          </w:p>
        </w:tc>
        <w:tc>
          <w:tcPr>
            <w:tcW w:type="dxa" w:w="4320"/>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Do not click Allow yet; the team can inspect the app name and scopes.</w:t>
            </w:r>
          </w:p>
        </w:tc>
      </w:tr>
      <w:tr>
        <w:tc>
          <w:tcPr>
            <w:tcW w:type="dxa" w:w="490"/>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7</w:t>
            </w:r>
          </w:p>
        </w:tc>
        <w:tc>
          <w:tcPr>
            <w:tcW w:type="dxa" w:w="4550"/>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Review the displayed client/app identity and requested scopes.</w:t>
            </w:r>
          </w:p>
        </w:tc>
        <w:tc>
          <w:tcPr>
            <w:tcW w:type="dxa" w:w="4320"/>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No unexpected scope or Production target is present.</w:t>
            </w:r>
          </w:p>
        </w:tc>
      </w:tr>
      <w:tr>
        <w:tc>
          <w:tcPr>
            <w:tcW w:type="dxa" w:w="490"/>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8</w:t>
            </w:r>
          </w:p>
        </w:tc>
        <w:tc>
          <w:tcPr>
            <w:tcW w:type="dxa" w:w="4550"/>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Proceed only after David and the reviewing admin/architect agree.</w:t>
            </w:r>
          </w:p>
        </w:tc>
        <w:tc>
          <w:tcPr>
            <w:tcW w:type="dxa" w:w="4320"/>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Approval is explicit and captured in meeting notes.</w:t>
            </w:r>
          </w:p>
        </w:tc>
      </w:tr>
      <w:tr>
        <w:tc>
          <w:tcPr>
            <w:tcW w:type="dxa" w:w="490"/>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9</w:t>
            </w:r>
          </w:p>
        </w:tc>
        <w:tc>
          <w:tcPr>
            <w:tcW w:type="dxa" w:w="4550"/>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Confirm return to Gong home.</w:t>
            </w:r>
          </w:p>
        </w:tc>
        <w:tc>
          <w:tcPr>
            <w:tcW w:type="dxa" w:w="4320"/>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Gong loads successfully and the existing CRM import connection remains unchanged.</w:t>
            </w:r>
          </w:p>
        </w:tc>
      </w:tr>
    </w:tbl>
    <w:p>
      <w:pPr>
        <w:spacing w:after="0" w:before="20"/>
      </w:pPr>
    </w:p>
    <w:p>
      <w:pPr>
        <w:pStyle w:val="Heading2"/>
        <w:keepNext/>
        <w:pageBreakBefore w:val="0"/>
      </w:pPr>
      <w:r>
        <w:rPr>
          <w:rFonts w:ascii="Arial" w:hAnsi="Arial" w:eastAsia="Arial"/>
          <w:b/>
          <w:color w:val="2E75B6"/>
          <w:sz w:val="26"/>
        </w:rPr>
        <w:t>Mandatory stop conditions</w:t>
      </w:r>
    </w:p>
    <w:tbl>
      <w:tblPr>
        <w:tblW w:type="dxa" w:w="9360"/>
        <w:tblLayout w:type="fixed"/>
        <w:tblLook w:firstColumn="1" w:firstRow="1" w:lastColumn="0" w:lastRow="0" w:noHBand="0" w:noVBand="1" w:val="04A0"/>
        <w:jc w:val="left"/>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802"/>
        <w:gridCol w:w="5558"/>
      </w:tblGrid>
      <w:tr>
        <w:trPr>
          <w:tblHeader w:val="true"/>
        </w:trPr>
        <w:tc>
          <w:tcPr>
            <w:tcW w:type="dxa" w:w="3802"/>
            <w:tcMar>
              <w:top w:w="72" w:type="dxa"/>
              <w:start w:w="120" w:type="dxa"/>
              <w:bottom w:w="72" w:type="dxa"/>
              <w:end w:w="120" w:type="dxa"/>
            </w:tcMar>
            <w:vAlign w:val="center"/>
            <w:shd w:fill="F1F3F6"/>
          </w:tcPr>
          <w:p>
            <w:pPr>
              <w:spacing w:before="0" w:after="0" w:line="240" w:lineRule="auto"/>
              <w:jc w:val="left"/>
            </w:pPr>
            <w:r/>
            <w:r>
              <w:rPr>
                <w:rFonts w:ascii="Arial" w:hAnsi="Arial" w:eastAsia="Arial"/>
                <w:b/>
                <w:color w:val="0B2545"/>
                <w:sz w:val="19"/>
              </w:rPr>
              <w:t>Stop condition</w:t>
            </w:r>
          </w:p>
        </w:tc>
        <w:tc>
          <w:tcPr>
            <w:tcW w:type="dxa" w:w="5558"/>
            <w:tcMar>
              <w:top w:w="72" w:type="dxa"/>
              <w:start w:w="120" w:type="dxa"/>
              <w:bottom w:w="72" w:type="dxa"/>
              <w:end w:w="120" w:type="dxa"/>
            </w:tcMar>
            <w:vAlign w:val="center"/>
            <w:shd w:fill="F1F3F6"/>
          </w:tcPr>
          <w:p>
            <w:pPr>
              <w:spacing w:before="0" w:after="0" w:line="240" w:lineRule="auto"/>
              <w:jc w:val="left"/>
            </w:pPr>
            <w:r/>
            <w:r>
              <w:rPr>
                <w:rFonts w:ascii="Arial" w:hAnsi="Arial" w:eastAsia="Arial"/>
                <w:b/>
                <w:color w:val="0B2545"/>
                <w:sz w:val="19"/>
              </w:rPr>
              <w:t>Required response</w:t>
            </w:r>
          </w:p>
        </w:tc>
      </w:tr>
      <w:tr>
        <w:tc>
          <w:tcPr>
            <w:tcW w:type="dxa" w:w="3802"/>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Production or an unexpected Salesforce org is shown</w:t>
            </w:r>
          </w:p>
        </w:tc>
        <w:tc>
          <w:tcPr>
            <w:tcW w:type="dxa" w:w="5558"/>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Cancel authentication; do not continue.</w:t>
            </w:r>
          </w:p>
        </w:tc>
      </w:tr>
      <w:tr>
        <w:tc>
          <w:tcPr>
            <w:tcW w:type="dxa" w:w="3802"/>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Unexpected app/client name or scopes</w:t>
            </w:r>
          </w:p>
        </w:tc>
        <w:tc>
          <w:tcPr>
            <w:tcW w:type="dxa" w:w="5558"/>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Stop before Allow; capture a sanitized screenshot and escalate.</w:t>
            </w:r>
          </w:p>
        </w:tc>
      </w:tr>
      <w:tr>
        <w:tc>
          <w:tcPr>
            <w:tcW w:type="dxa" w:w="3802"/>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Package values do not match</w:t>
            </w:r>
          </w:p>
        </w:tc>
        <w:tc>
          <w:tcPr>
            <w:tcW w:type="dxa" w:w="5558"/>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Do not reinstall or remove anything; document the mismatch.</w:t>
            </w:r>
          </w:p>
        </w:tc>
      </w:tr>
      <w:tr>
        <w:tc>
          <w:tcPr>
            <w:tcW w:type="dxa" w:w="3802"/>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Prompt requests CRM disconnect/reconnect</w:t>
            </w:r>
          </w:p>
        </w:tc>
        <w:tc>
          <w:tcPr>
            <w:tcW w:type="dxa" w:w="5558"/>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Stop; the existing ada+gong@flywire.com integration is outside this sign-in action.</w:t>
            </w:r>
          </w:p>
        </w:tc>
      </w:tr>
      <w:tr>
        <w:tc>
          <w:tcPr>
            <w:tcW w:type="dxa" w:w="3802"/>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URL contains a long source= value or token-like material</w:t>
            </w:r>
          </w:p>
        </w:tc>
        <w:tc>
          <w:tcPr>
            <w:tcW w:type="dxa" w:w="5558"/>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Do not paste or forward it; return to the stable Gong sign-in link.</w:t>
            </w:r>
          </w:p>
        </w:tc>
      </w:tr>
      <w:tr>
        <w:tc>
          <w:tcPr>
            <w:tcW w:type="dxa" w:w="3802"/>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Any error page appears</w:t>
            </w:r>
          </w:p>
        </w:tc>
        <w:tc>
          <w:tcPr>
            <w:tcW w:type="dxa" w:w="5558"/>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Capture the error text, timestamp, browser, and step—without tokens or session URLs.</w:t>
            </w:r>
          </w:p>
        </w:tc>
      </w:tr>
    </w:tbl>
    <w:p>
      <w:pPr>
        <w:spacing w:after="0" w:before="20"/>
      </w:pPr>
    </w:p>
    <w:p>
      <w:r>
        <w:br w:type="page"/>
      </w:r>
    </w:p>
    <w:p>
      <w:pPr>
        <w:pStyle w:val="Heading1"/>
        <w:keepNext/>
        <w:pageBreakBefore w:val="0"/>
      </w:pPr>
      <w:r>
        <w:rPr>
          <w:rFonts w:ascii="Arial" w:hAnsi="Arial" w:eastAsia="Arial"/>
          <w:b/>
          <w:color w:val="2E75B6"/>
          <w:sz w:val="33"/>
        </w:rPr>
        <w:t>Acceptance criteria and evidence record</w:t>
      </w:r>
    </w:p>
    <w:tbl>
      <w:tblPr>
        <w:tblW w:type="dxa" w:w="9360"/>
        <w:tblLayout w:type="fixed"/>
        <w:tblLook w:firstColumn="1" w:firstRow="1" w:lastColumn="0" w:lastRow="0" w:noHBand="0" w:noVBand="1" w:val="04A0"/>
        <w:jc w:val="left"/>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61"/>
        <w:gridCol w:w="3384"/>
        <w:gridCol w:w="3960"/>
        <w:gridCol w:w="1555"/>
      </w:tblGrid>
      <w:tr>
        <w:trPr>
          <w:tblHeader w:val="true"/>
        </w:trPr>
        <w:tc>
          <w:tcPr>
            <w:tcW w:type="dxa" w:w="461"/>
            <w:tcMar>
              <w:top w:w="72" w:type="dxa"/>
              <w:start w:w="120" w:type="dxa"/>
              <w:bottom w:w="72" w:type="dxa"/>
              <w:end w:w="120" w:type="dxa"/>
            </w:tcMar>
            <w:vAlign w:val="center"/>
            <w:shd w:fill="F1F3F6"/>
          </w:tcPr>
          <w:p>
            <w:pPr>
              <w:spacing w:before="0" w:after="0" w:line="240" w:lineRule="auto"/>
              <w:jc w:val="left"/>
            </w:pPr>
            <w:r/>
            <w:r>
              <w:rPr>
                <w:rFonts w:ascii="Arial" w:hAnsi="Arial" w:eastAsia="Arial"/>
                <w:b/>
                <w:color w:val="0B2545"/>
                <w:sz w:val="19"/>
              </w:rPr>
              <w:t>#</w:t>
            </w:r>
          </w:p>
        </w:tc>
        <w:tc>
          <w:tcPr>
            <w:tcW w:type="dxa" w:w="3384"/>
            <w:tcMar>
              <w:top w:w="72" w:type="dxa"/>
              <w:start w:w="120" w:type="dxa"/>
              <w:bottom w:w="72" w:type="dxa"/>
              <w:end w:w="120" w:type="dxa"/>
            </w:tcMar>
            <w:vAlign w:val="center"/>
            <w:shd w:fill="F1F3F6"/>
          </w:tcPr>
          <w:p>
            <w:pPr>
              <w:spacing w:before="0" w:after="0" w:line="240" w:lineRule="auto"/>
              <w:jc w:val="left"/>
            </w:pPr>
            <w:r/>
            <w:r>
              <w:rPr>
                <w:rFonts w:ascii="Arial" w:hAnsi="Arial" w:eastAsia="Arial"/>
                <w:b/>
                <w:color w:val="0B2545"/>
                <w:sz w:val="19"/>
              </w:rPr>
              <w:t>Acceptance criterion</w:t>
            </w:r>
          </w:p>
        </w:tc>
        <w:tc>
          <w:tcPr>
            <w:tcW w:type="dxa" w:w="3960"/>
            <w:tcMar>
              <w:top w:w="72" w:type="dxa"/>
              <w:start w:w="120" w:type="dxa"/>
              <w:bottom w:w="72" w:type="dxa"/>
              <w:end w:w="120" w:type="dxa"/>
            </w:tcMar>
            <w:vAlign w:val="center"/>
            <w:shd w:fill="F1F3F6"/>
          </w:tcPr>
          <w:p>
            <w:pPr>
              <w:spacing w:before="0" w:after="0" w:line="240" w:lineRule="auto"/>
              <w:jc w:val="left"/>
            </w:pPr>
            <w:r/>
            <w:r>
              <w:rPr>
                <w:rFonts w:ascii="Arial" w:hAnsi="Arial" w:eastAsia="Arial"/>
                <w:b/>
                <w:color w:val="0B2545"/>
                <w:sz w:val="19"/>
              </w:rPr>
              <w:t>Evidence to attach</w:t>
            </w:r>
          </w:p>
        </w:tc>
        <w:tc>
          <w:tcPr>
            <w:tcW w:type="dxa" w:w="1555"/>
            <w:tcMar>
              <w:top w:w="72" w:type="dxa"/>
              <w:start w:w="120" w:type="dxa"/>
              <w:bottom w:w="72" w:type="dxa"/>
              <w:end w:w="120" w:type="dxa"/>
            </w:tcMar>
            <w:vAlign w:val="center"/>
            <w:shd w:fill="F1F3F6"/>
          </w:tcPr>
          <w:p>
            <w:pPr>
              <w:spacing w:before="0" w:after="0" w:line="240" w:lineRule="auto"/>
              <w:jc w:val="left"/>
            </w:pPr>
            <w:r/>
            <w:r>
              <w:rPr>
                <w:rFonts w:ascii="Arial" w:hAnsi="Arial" w:eastAsia="Arial"/>
                <w:b/>
                <w:color w:val="0B2545"/>
                <w:sz w:val="19"/>
              </w:rPr>
              <w:t>Status</w:t>
            </w:r>
          </w:p>
        </w:tc>
      </w:tr>
      <w:tr>
        <w:tc>
          <w:tcPr>
            <w:tcW w:type="dxa" w:w="461"/>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1</w:t>
            </w:r>
          </w:p>
        </w:tc>
        <w:tc>
          <w:tcPr>
            <w:tcW w:type="dxa" w:w="3384"/>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Gong ECA is present in Sandbox (Partial).</w:t>
            </w:r>
          </w:p>
        </w:tc>
        <w:tc>
          <w:tcPr>
            <w:tcW w:type="dxa" w:w="3960"/>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Installed Packages screenshot with org context.</w:t>
            </w:r>
          </w:p>
        </w:tc>
        <w:tc>
          <w:tcPr>
            <w:tcW w:type="dxa" w:w="1555"/>
            <w:shd w:fill="E5F3EF"/>
            <w:tcMar>
              <w:top w:w="72" w:type="dxa"/>
              <w:start w:w="120" w:type="dxa"/>
              <w:bottom w:w="72" w:type="dxa"/>
              <w:end w:w="120" w:type="dxa"/>
            </w:tcMar>
            <w:vAlign w:val="center"/>
          </w:tcPr>
          <w:p>
            <w:pPr>
              <w:spacing w:before="0" w:after="0" w:line="240" w:lineRule="auto"/>
              <w:jc w:val="center"/>
            </w:pPr>
            <w:r/>
            <w:r>
              <w:rPr>
                <w:rFonts w:ascii="Arial" w:hAnsi="Arial" w:eastAsia="Arial"/>
                <w:b/>
                <w:color w:val="168A73"/>
                <w:sz w:val="18"/>
              </w:rPr>
              <w:t>Confirmed</w:t>
            </w:r>
          </w:p>
        </w:tc>
      </w:tr>
      <w:tr>
        <w:tc>
          <w:tcPr>
            <w:tcW w:type="dxa" w:w="461"/>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2</w:t>
            </w:r>
          </w:p>
        </w:tc>
        <w:tc>
          <w:tcPr>
            <w:tcW w:type="dxa" w:w="3384"/>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Version, namespace, and package ID match exactly.</w:t>
            </w:r>
          </w:p>
        </w:tc>
        <w:tc>
          <w:tcPr>
            <w:tcW w:type="dxa" w:w="3960"/>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0.1 / gongeca / 0337y000005iObdAAE.</w:t>
            </w:r>
          </w:p>
        </w:tc>
        <w:tc>
          <w:tcPr>
            <w:tcW w:type="dxa" w:w="1555"/>
            <w:shd w:fill="E5F3EF"/>
            <w:tcMar>
              <w:top w:w="72" w:type="dxa"/>
              <w:start w:w="120" w:type="dxa"/>
              <w:bottom w:w="72" w:type="dxa"/>
              <w:end w:w="120" w:type="dxa"/>
            </w:tcMar>
            <w:vAlign w:val="center"/>
          </w:tcPr>
          <w:p>
            <w:pPr>
              <w:spacing w:before="0" w:after="0" w:line="240" w:lineRule="auto"/>
              <w:jc w:val="center"/>
            </w:pPr>
            <w:r/>
            <w:r>
              <w:rPr>
                <w:rFonts w:ascii="Arial" w:hAnsi="Arial" w:eastAsia="Arial"/>
                <w:b/>
                <w:color w:val="168A73"/>
                <w:sz w:val="18"/>
              </w:rPr>
              <w:t>Confirmed</w:t>
            </w:r>
          </w:p>
        </w:tc>
      </w:tr>
      <w:tr>
        <w:tc>
          <w:tcPr>
            <w:tcW w:type="dxa" w:w="461"/>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3</w:t>
            </w:r>
          </w:p>
        </w:tc>
        <w:tc>
          <w:tcPr>
            <w:tcW w:type="dxa" w:w="3384"/>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Sign in with Salesforce reaches the Partial sandbox.</w:t>
            </w:r>
          </w:p>
        </w:tc>
        <w:tc>
          <w:tcPr>
            <w:tcW w:type="dxa" w:w="3960"/>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Sanitized screenshot or meeting note.</w:t>
            </w:r>
          </w:p>
        </w:tc>
        <w:tc>
          <w:tcPr>
            <w:tcW w:type="dxa" w:w="1555"/>
            <w:tcMar>
              <w:top w:w="72" w:type="dxa"/>
              <w:start w:w="120" w:type="dxa"/>
              <w:bottom w:w="72" w:type="dxa"/>
              <w:end w:w="120" w:type="dxa"/>
            </w:tcMar>
            <w:vAlign w:val="center"/>
          </w:tcPr>
          <w:p>
            <w:pPr>
              <w:spacing w:before="0" w:after="0" w:line="240" w:lineRule="auto"/>
              <w:jc w:val="center"/>
            </w:pPr>
            <w:r/>
            <w:r>
              <w:rPr>
                <w:rFonts w:ascii="Arial" w:hAnsi="Arial" w:eastAsia="Arial"/>
                <w:b/>
                <w:color w:val="263445"/>
                <w:sz w:val="18"/>
              </w:rPr>
              <w:t>Pending</w:t>
            </w:r>
          </w:p>
        </w:tc>
      </w:tr>
      <w:tr>
        <w:tc>
          <w:tcPr>
            <w:tcW w:type="dxa" w:w="461"/>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4</w:t>
            </w:r>
          </w:p>
        </w:tc>
        <w:tc>
          <w:tcPr>
            <w:tcW w:type="dxa" w:w="3384"/>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App identity and scopes are reviewed before Allow.</w:t>
            </w:r>
          </w:p>
        </w:tc>
        <w:tc>
          <w:tcPr>
            <w:tcW w:type="dxa" w:w="3960"/>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Reviewer/approver name and authorization screenshot.</w:t>
            </w:r>
          </w:p>
        </w:tc>
        <w:tc>
          <w:tcPr>
            <w:tcW w:type="dxa" w:w="1555"/>
            <w:tcMar>
              <w:top w:w="72" w:type="dxa"/>
              <w:start w:w="120" w:type="dxa"/>
              <w:bottom w:w="72" w:type="dxa"/>
              <w:end w:w="120" w:type="dxa"/>
            </w:tcMar>
            <w:vAlign w:val="center"/>
          </w:tcPr>
          <w:p>
            <w:pPr>
              <w:spacing w:before="0" w:after="0" w:line="240" w:lineRule="auto"/>
              <w:jc w:val="center"/>
            </w:pPr>
            <w:r/>
            <w:r>
              <w:rPr>
                <w:rFonts w:ascii="Arial" w:hAnsi="Arial" w:eastAsia="Arial"/>
                <w:b/>
                <w:color w:val="263445"/>
                <w:sz w:val="18"/>
              </w:rPr>
              <w:t>Pending</w:t>
            </w:r>
          </w:p>
        </w:tc>
      </w:tr>
      <w:tr>
        <w:tc>
          <w:tcPr>
            <w:tcW w:type="dxa" w:w="461"/>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5</w:t>
            </w:r>
          </w:p>
        </w:tc>
        <w:tc>
          <w:tcPr>
            <w:tcW w:type="dxa" w:w="3384"/>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Gong home loads after successful authentication.</w:t>
            </w:r>
          </w:p>
        </w:tc>
        <w:tc>
          <w:tcPr>
            <w:tcW w:type="dxa" w:w="3960"/>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Post-login screenshot and timestamp.</w:t>
            </w:r>
          </w:p>
        </w:tc>
        <w:tc>
          <w:tcPr>
            <w:tcW w:type="dxa" w:w="1555"/>
            <w:tcMar>
              <w:top w:w="72" w:type="dxa"/>
              <w:start w:w="120" w:type="dxa"/>
              <w:bottom w:w="72" w:type="dxa"/>
              <w:end w:w="120" w:type="dxa"/>
            </w:tcMar>
            <w:vAlign w:val="center"/>
          </w:tcPr>
          <w:p>
            <w:pPr>
              <w:spacing w:before="0" w:after="0" w:line="240" w:lineRule="auto"/>
              <w:jc w:val="center"/>
            </w:pPr>
            <w:r/>
            <w:r>
              <w:rPr>
                <w:rFonts w:ascii="Arial" w:hAnsi="Arial" w:eastAsia="Arial"/>
                <w:b/>
                <w:color w:val="263445"/>
                <w:sz w:val="18"/>
              </w:rPr>
              <w:t>Pending</w:t>
            </w:r>
          </w:p>
        </w:tc>
      </w:tr>
      <w:tr>
        <w:tc>
          <w:tcPr>
            <w:tcW w:type="dxa" w:w="461"/>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6</w:t>
            </w:r>
          </w:p>
        </w:tc>
        <w:tc>
          <w:tcPr>
            <w:tcW w:type="dxa" w:w="3384"/>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Existing CRM connection remains connected/importing.</w:t>
            </w:r>
          </w:p>
        </w:tc>
        <w:tc>
          <w:tcPr>
            <w:tcW w:type="dxa" w:w="3960"/>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Gong Admin Center connection/import status after test.</w:t>
            </w:r>
          </w:p>
        </w:tc>
        <w:tc>
          <w:tcPr>
            <w:tcW w:type="dxa" w:w="1555"/>
            <w:tcMar>
              <w:top w:w="72" w:type="dxa"/>
              <w:start w:w="120" w:type="dxa"/>
              <w:bottom w:w="72" w:type="dxa"/>
              <w:end w:w="120" w:type="dxa"/>
            </w:tcMar>
            <w:vAlign w:val="center"/>
          </w:tcPr>
          <w:p>
            <w:pPr>
              <w:spacing w:before="0" w:after="0" w:line="240" w:lineRule="auto"/>
              <w:jc w:val="center"/>
            </w:pPr>
            <w:r/>
            <w:r>
              <w:rPr>
                <w:rFonts w:ascii="Arial" w:hAnsi="Arial" w:eastAsia="Arial"/>
                <w:b/>
                <w:color w:val="263445"/>
                <w:sz w:val="18"/>
              </w:rPr>
              <w:t>Pending</w:t>
            </w:r>
          </w:p>
        </w:tc>
      </w:tr>
      <w:tr>
        <w:tc>
          <w:tcPr>
            <w:tcW w:type="dxa" w:w="461"/>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7</w:t>
            </w:r>
          </w:p>
        </w:tc>
        <w:tc>
          <w:tcPr>
            <w:tcW w:type="dxa" w:w="3384"/>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No Gong writeback is enabled by this story.</w:t>
            </w:r>
          </w:p>
        </w:tc>
        <w:tc>
          <w:tcPr>
            <w:tcW w:type="dxa" w:w="3960"/>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Configuration confirmation / meeting note.</w:t>
            </w:r>
          </w:p>
        </w:tc>
        <w:tc>
          <w:tcPr>
            <w:tcW w:type="dxa" w:w="1555"/>
            <w:tcMar>
              <w:top w:w="72" w:type="dxa"/>
              <w:start w:w="120" w:type="dxa"/>
              <w:bottom w:w="72" w:type="dxa"/>
              <w:end w:w="120" w:type="dxa"/>
            </w:tcMar>
            <w:vAlign w:val="center"/>
          </w:tcPr>
          <w:p>
            <w:pPr>
              <w:spacing w:before="0" w:after="0" w:line="240" w:lineRule="auto"/>
              <w:jc w:val="center"/>
            </w:pPr>
            <w:r/>
            <w:r>
              <w:rPr>
                <w:rFonts w:ascii="Arial" w:hAnsi="Arial" w:eastAsia="Arial"/>
                <w:b/>
                <w:color w:val="263445"/>
                <w:sz w:val="18"/>
              </w:rPr>
              <w:t>Pending</w:t>
            </w:r>
          </w:p>
        </w:tc>
      </w:tr>
      <w:tr>
        <w:tc>
          <w:tcPr>
            <w:tcW w:type="dxa" w:w="461"/>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8</w:t>
            </w:r>
          </w:p>
        </w:tc>
        <w:tc>
          <w:tcPr>
            <w:tcW w:type="dxa" w:w="3384"/>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No Production or unrelated Salesforce change occurs.</w:t>
            </w:r>
          </w:p>
        </w:tc>
        <w:tc>
          <w:tcPr>
            <w:tcW w:type="dxa" w:w="3960"/>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Change record explicitly states sandbox-only scope.</w:t>
            </w:r>
          </w:p>
        </w:tc>
        <w:tc>
          <w:tcPr>
            <w:tcW w:type="dxa" w:w="1555"/>
            <w:tcMar>
              <w:top w:w="72" w:type="dxa"/>
              <w:start w:w="120" w:type="dxa"/>
              <w:bottom w:w="72" w:type="dxa"/>
              <w:end w:w="120" w:type="dxa"/>
            </w:tcMar>
            <w:vAlign w:val="center"/>
          </w:tcPr>
          <w:p>
            <w:pPr>
              <w:spacing w:before="0" w:after="0" w:line="240" w:lineRule="auto"/>
              <w:jc w:val="center"/>
            </w:pPr>
            <w:r/>
            <w:r>
              <w:rPr>
                <w:rFonts w:ascii="Arial" w:hAnsi="Arial" w:eastAsia="Arial"/>
                <w:b/>
                <w:color w:val="263445"/>
                <w:sz w:val="18"/>
              </w:rPr>
              <w:t>Required</w:t>
            </w:r>
          </w:p>
        </w:tc>
      </w:tr>
    </w:tbl>
    <w:p>
      <w:pPr>
        <w:spacing w:after="0" w:before="20"/>
      </w:pPr>
    </w:p>
    <w:p>
      <w:pPr>
        <w:pStyle w:val="Heading2"/>
        <w:keepNext/>
        <w:pageBreakBefore w:val="0"/>
      </w:pPr>
      <w:r>
        <w:rPr>
          <w:rFonts w:ascii="Arial" w:hAnsi="Arial" w:eastAsia="Arial"/>
          <w:b/>
          <w:color w:val="2E75B6"/>
          <w:sz w:val="26"/>
        </w:rPr>
        <w:t>Evidence log template</w:t>
      </w:r>
    </w:p>
    <w:tbl>
      <w:tblPr>
        <w:tblW w:type="dxa" w:w="9360"/>
        <w:tblLayout w:type="fixed"/>
        <w:tblLook w:firstColumn="1" w:firstRow="1" w:lastColumn="0" w:lastRow="0" w:noHBand="0" w:noVBand="1" w:val="04A0"/>
        <w:jc w:val="left"/>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448"/>
        <w:gridCol w:w="6912"/>
      </w:tblGrid>
      <w:tr>
        <w:trPr>
          <w:tblHeader w:val="true"/>
        </w:trPr>
        <w:tc>
          <w:tcPr>
            <w:tcW w:type="dxa" w:w="2448"/>
            <w:tcMar>
              <w:top w:w="72" w:type="dxa"/>
              <w:start w:w="120" w:type="dxa"/>
              <w:bottom w:w="72" w:type="dxa"/>
              <w:end w:w="120" w:type="dxa"/>
            </w:tcMar>
            <w:vAlign w:val="center"/>
            <w:shd w:fill="F1F3F6"/>
          </w:tcPr>
          <w:p>
            <w:pPr>
              <w:spacing w:before="0" w:after="0" w:line="240" w:lineRule="auto"/>
              <w:jc w:val="left"/>
            </w:pPr>
            <w:r/>
            <w:r>
              <w:rPr>
                <w:rFonts w:ascii="Arial" w:hAnsi="Arial" w:eastAsia="Arial"/>
                <w:b/>
                <w:color w:val="0B2545"/>
                <w:sz w:val="19"/>
              </w:rPr>
              <w:t>Evidence item</w:t>
            </w:r>
          </w:p>
        </w:tc>
        <w:tc>
          <w:tcPr>
            <w:tcW w:type="dxa" w:w="6912"/>
            <w:tcMar>
              <w:top w:w="72" w:type="dxa"/>
              <w:start w:w="120" w:type="dxa"/>
              <w:bottom w:w="72" w:type="dxa"/>
              <w:end w:w="120" w:type="dxa"/>
            </w:tcMar>
            <w:vAlign w:val="center"/>
            <w:shd w:fill="F1F3F6"/>
          </w:tcPr>
          <w:p>
            <w:pPr>
              <w:spacing w:before="0" w:after="0" w:line="240" w:lineRule="auto"/>
              <w:jc w:val="left"/>
            </w:pPr>
            <w:r/>
            <w:r>
              <w:rPr>
                <w:rFonts w:ascii="Arial" w:hAnsi="Arial" w:eastAsia="Arial"/>
                <w:b/>
                <w:color w:val="0B2545"/>
                <w:sz w:val="19"/>
              </w:rPr>
              <w:t>Record this value</w:t>
            </w:r>
          </w:p>
        </w:tc>
      </w:tr>
      <w:tr>
        <w:tc>
          <w:tcPr>
            <w:tcW w:type="dxa" w:w="2448"/>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Meeting</w:t>
            </w:r>
          </w:p>
        </w:tc>
        <w:tc>
          <w:tcPr>
            <w:tcW w:type="dxa" w:w="6912"/>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Date/time, Zoom participants, facilitator, Salesforce admin, reviewer</w:t>
            </w:r>
          </w:p>
        </w:tc>
      </w:tr>
      <w:tr>
        <w:tc>
          <w:tcPr>
            <w:tcW w:type="dxa" w:w="2448"/>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Package</w:t>
            </w:r>
          </w:p>
        </w:tc>
        <w:tc>
          <w:tcPr>
            <w:tcW w:type="dxa" w:w="6912"/>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Name, version, namespace, 18-character package ID, org banner/domain</w:t>
            </w:r>
          </w:p>
        </w:tc>
      </w:tr>
      <w:tr>
        <w:tc>
          <w:tcPr>
            <w:tcW w:type="dxa" w:w="2448"/>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Authorization</w:t>
            </w:r>
          </w:p>
        </w:tc>
        <w:tc>
          <w:tcPr>
            <w:tcW w:type="dxa" w:w="6912"/>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Displayed client/app name, requested scopes, reviewer decision, Allow/Cancel outcome</w:t>
            </w:r>
          </w:p>
        </w:tc>
      </w:tr>
      <w:tr>
        <w:tc>
          <w:tcPr>
            <w:tcW w:type="dxa" w:w="2448"/>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Sign-in</w:t>
            </w:r>
          </w:p>
        </w:tc>
        <w:tc>
          <w:tcPr>
            <w:tcW w:type="dxa" w:w="6912"/>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Success/failure, timestamp, resulting Gong page, sanitized error if any</w:t>
            </w:r>
          </w:p>
        </w:tc>
      </w:tr>
      <w:tr>
        <w:tc>
          <w:tcPr>
            <w:tcW w:type="dxa" w:w="2448"/>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Regression check</w:t>
            </w:r>
          </w:p>
        </w:tc>
        <w:tc>
          <w:tcPr>
            <w:tcW w:type="dxa" w:w="6912"/>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Existing integration user, connection status, last import indicators, writeback unchanged</w:t>
            </w:r>
          </w:p>
        </w:tc>
      </w:tr>
      <w:tr>
        <w:tc>
          <w:tcPr>
            <w:tcW w:type="dxa" w:w="2448"/>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Attachments</w:t>
            </w:r>
          </w:p>
        </w:tc>
        <w:tc>
          <w:tcPr>
            <w:tcW w:type="dxa" w:w="6912"/>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Sanitized screenshots and links to Jira/meeting notes; no tokens or session-specific URLs</w:t>
            </w:r>
          </w:p>
        </w:tc>
      </w:tr>
    </w:tbl>
    <w:p>
      <w:pPr>
        <w:spacing w:after="0" w:before="20"/>
      </w:pPr>
    </w:p>
    <w:tbl>
      <w:tblPr>
        <w:tblW w:type="dxa" w:w="9360"/>
        <w:jc w:val="left"/>
        <w:tblLayout w:type="fixed"/>
        <w:tblLook w:firstColumn="1" w:firstRow="1" w:lastColumn="0" w:lastRow="0" w:noHBand="0" w:noVBand="1" w:val="04A0"/>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9360"/>
      </w:tblGrid>
      <w:tr>
        <w:tc>
          <w:tcPr>
            <w:tcW w:type="dxa" w:w="9360"/>
            <w:tcMar>
              <w:top w:w="110" w:type="dxa"/>
              <w:start w:w="140" w:type="dxa"/>
              <w:bottom w:w="110" w:type="dxa"/>
              <w:end w:w="140" w:type="dxa"/>
            </w:tcMar>
            <w:vAlign w:val="center"/>
            <w:shd w:fill="FFF4D9"/>
          </w:tcPr>
          <w:p>
            <w:pPr>
              <w:spacing w:after="60"/>
            </w:pPr>
            <w:r>
              <w:rPr>
                <w:rFonts w:ascii="Arial" w:hAnsi="Arial" w:eastAsia="Arial"/>
                <w:b/>
                <w:color w:val="B97816"/>
                <w:sz w:val="19"/>
              </w:rPr>
              <w:t>CLOSURE RULE</w:t>
            </w:r>
          </w:p>
          <w:p>
            <w:pPr>
              <w:spacing w:before="0" w:after="0" w:line="240" w:lineRule="auto"/>
            </w:pPr>
            <w:r>
              <w:rPr>
                <w:rFonts w:ascii="Arial" w:hAnsi="Arial" w:eastAsia="Arial"/>
                <w:b/>
                <w:color w:val="0B2545"/>
                <w:sz w:val="22"/>
              </w:rPr>
              <w:t>Do not close SALDEV-1469 based on package installation alone. Close only after the controlled sign-in, scope review, successful Gong return, and post-test CRM-connection check are evidenced—or document an approved exception/blocker.</w:t>
            </w:r>
          </w:p>
        </w:tc>
      </w:tr>
    </w:tbl>
    <w:p>
      <w:pPr>
        <w:spacing w:after="0" w:before="20"/>
      </w:pPr>
    </w:p>
    <w:p>
      <w:r>
        <w:br w:type="page"/>
      </w:r>
    </w:p>
    <w:p>
      <w:pPr>
        <w:pStyle w:val="Heading2"/>
        <w:keepNext/>
        <w:pageBreakBefore w:val="0"/>
      </w:pPr>
      <w:r>
        <w:rPr>
          <w:rFonts w:ascii="Arial" w:hAnsi="Arial" w:eastAsia="Arial"/>
          <w:b/>
          <w:color w:val="2E75B6"/>
          <w:sz w:val="26"/>
        </w:rPr>
        <w:t>Ownership</w:t>
      </w:r>
    </w:p>
    <w:tbl>
      <w:tblPr>
        <w:tblW w:type="dxa" w:w="9360"/>
        <w:tblLayout w:type="fixed"/>
        <w:tblLook w:firstColumn="1" w:firstRow="1" w:lastColumn="0" w:lastRow="0" w:noHBand="0" w:noVBand="1" w:val="04A0"/>
        <w:jc w:val="left"/>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944"/>
        <w:gridCol w:w="4896"/>
        <w:gridCol w:w="2520"/>
      </w:tblGrid>
      <w:tr>
        <w:trPr>
          <w:tblHeader w:val="true"/>
        </w:trPr>
        <w:tc>
          <w:tcPr>
            <w:tcW w:type="dxa" w:w="1944"/>
            <w:tcMar>
              <w:top w:w="72" w:type="dxa"/>
              <w:start w:w="120" w:type="dxa"/>
              <w:bottom w:w="72" w:type="dxa"/>
              <w:end w:w="120" w:type="dxa"/>
            </w:tcMar>
            <w:vAlign w:val="center"/>
            <w:shd w:fill="F1F3F6"/>
          </w:tcPr>
          <w:p>
            <w:pPr>
              <w:spacing w:before="0" w:after="0" w:line="240" w:lineRule="auto"/>
              <w:jc w:val="left"/>
            </w:pPr>
            <w:r/>
            <w:r>
              <w:rPr>
                <w:rFonts w:ascii="Arial" w:hAnsi="Arial" w:eastAsia="Arial"/>
                <w:b/>
                <w:color w:val="0B2545"/>
                <w:sz w:val="19"/>
              </w:rPr>
              <w:t>Owner</w:t>
            </w:r>
          </w:p>
        </w:tc>
        <w:tc>
          <w:tcPr>
            <w:tcW w:type="dxa" w:w="4896"/>
            <w:tcMar>
              <w:top w:w="72" w:type="dxa"/>
              <w:start w:w="120" w:type="dxa"/>
              <w:bottom w:w="72" w:type="dxa"/>
              <w:end w:w="120" w:type="dxa"/>
            </w:tcMar>
            <w:vAlign w:val="center"/>
            <w:shd w:fill="F1F3F6"/>
          </w:tcPr>
          <w:p>
            <w:pPr>
              <w:spacing w:before="0" w:after="0" w:line="240" w:lineRule="auto"/>
              <w:jc w:val="left"/>
            </w:pPr>
            <w:r/>
            <w:r>
              <w:rPr>
                <w:rFonts w:ascii="Arial" w:hAnsi="Arial" w:eastAsia="Arial"/>
                <w:b/>
                <w:color w:val="0B2545"/>
                <w:sz w:val="19"/>
              </w:rPr>
              <w:t>Responsibility</w:t>
            </w:r>
          </w:p>
        </w:tc>
        <w:tc>
          <w:tcPr>
            <w:tcW w:type="dxa" w:w="2520"/>
            <w:tcMar>
              <w:top w:w="72" w:type="dxa"/>
              <w:start w:w="120" w:type="dxa"/>
              <w:bottom w:w="72" w:type="dxa"/>
              <w:end w:w="120" w:type="dxa"/>
            </w:tcMar>
            <w:vAlign w:val="center"/>
            <w:shd w:fill="F1F3F6"/>
          </w:tcPr>
          <w:p>
            <w:pPr>
              <w:spacing w:before="0" w:after="0" w:line="240" w:lineRule="auto"/>
              <w:jc w:val="left"/>
            </w:pPr>
            <w:r/>
            <w:r>
              <w:rPr>
                <w:rFonts w:ascii="Arial" w:hAnsi="Arial" w:eastAsia="Arial"/>
                <w:b/>
                <w:color w:val="0B2545"/>
                <w:sz w:val="19"/>
              </w:rPr>
              <w:t>Evidence</w:t>
            </w:r>
          </w:p>
        </w:tc>
      </w:tr>
      <w:tr>
        <w:tc>
          <w:tcPr>
            <w:tcW w:type="dxa" w:w="1944"/>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David / Salesforce Admin</w:t>
            </w:r>
          </w:p>
        </w:tc>
        <w:tc>
          <w:tcPr>
            <w:tcW w:type="dxa" w:w="4896"/>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Verify package, run sign-in, stop at authorization, and approve only after review.</w:t>
            </w:r>
          </w:p>
        </w:tc>
        <w:tc>
          <w:tcPr>
            <w:tcW w:type="dxa" w:w="2520"/>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Screen-share confirmation and screenshots.</w:t>
            </w:r>
          </w:p>
        </w:tc>
      </w:tr>
      <w:tr>
        <w:tc>
          <w:tcPr>
            <w:tcW w:type="dxa" w:w="1944"/>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Facilitator</w:t>
            </w:r>
          </w:p>
        </w:tc>
        <w:tc>
          <w:tcPr>
            <w:tcW w:type="dxa" w:w="4896"/>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Send stable links, guide the sequence, record results, and protect tokens/session URLs.</w:t>
            </w:r>
          </w:p>
        </w:tc>
        <w:tc>
          <w:tcPr>
            <w:tcW w:type="dxa" w:w="2520"/>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Meeting notes and evidence checklist.</w:t>
            </w:r>
          </w:p>
        </w:tc>
      </w:tr>
      <w:tr>
        <w:tc>
          <w:tcPr>
            <w:tcW w:type="dxa" w:w="1944"/>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Architect / Security reviewer</w:t>
            </w:r>
          </w:p>
        </w:tc>
        <w:tc>
          <w:tcPr>
            <w:tcW w:type="dxa" w:w="4896"/>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Confirm app identity, scopes, sandbox target, and whether Allow is acceptable.</w:t>
            </w:r>
          </w:p>
        </w:tc>
        <w:tc>
          <w:tcPr>
            <w:tcW w:type="dxa" w:w="2520"/>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Named approval or documented concern.</w:t>
            </w:r>
          </w:p>
        </w:tc>
      </w:tr>
      <w:tr>
        <w:tc>
          <w:tcPr>
            <w:tcW w:type="dxa" w:w="1944"/>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Gong / Integration owner</w:t>
            </w:r>
          </w:p>
        </w:tc>
        <w:tc>
          <w:tcPr>
            <w:tcW w:type="dxa" w:w="4896"/>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Confirm final Gong access and unchanged CRM import connection; coordinate support.</w:t>
            </w:r>
          </w:p>
        </w:tc>
        <w:tc>
          <w:tcPr>
            <w:tcW w:type="dxa" w:w="2520"/>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Post-test connection/import status.</w:t>
            </w:r>
          </w:p>
        </w:tc>
      </w:tr>
    </w:tbl>
    <w:p>
      <w:pPr>
        <w:spacing w:after="0" w:before="20"/>
      </w:pPr>
    </w:p>
    <w:p>
      <w:pPr>
        <w:pStyle w:val="Heading2"/>
        <w:keepNext/>
        <w:pageBreakBefore w:val="0"/>
      </w:pPr>
      <w:r>
        <w:rPr>
          <w:rFonts w:ascii="Arial" w:hAnsi="Arial" w:eastAsia="Arial"/>
          <w:b/>
          <w:color w:val="2E75B6"/>
          <w:sz w:val="26"/>
        </w:rPr>
        <w:t>Approval record</w:t>
      </w:r>
    </w:p>
    <w:tbl>
      <w:tblPr>
        <w:tblW w:type="dxa" w:w="9360"/>
        <w:tblLayout w:type="fixed"/>
        <w:tblLook w:firstColumn="1" w:firstRow="1" w:lastColumn="0" w:lastRow="0" w:noHBand="0" w:noVBand="1" w:val="04A0"/>
        <w:jc w:val="left"/>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448"/>
        <w:gridCol w:w="2520"/>
        <w:gridCol w:w="4392"/>
      </w:tblGrid>
      <w:tr>
        <w:trPr>
          <w:tblHeader w:val="true"/>
        </w:trPr>
        <w:tc>
          <w:tcPr>
            <w:tcW w:type="dxa" w:w="2448"/>
            <w:tcMar>
              <w:top w:w="72" w:type="dxa"/>
              <w:start w:w="120" w:type="dxa"/>
              <w:bottom w:w="72" w:type="dxa"/>
              <w:end w:w="120" w:type="dxa"/>
            </w:tcMar>
            <w:vAlign w:val="center"/>
            <w:shd w:fill="F1F3F6"/>
          </w:tcPr>
          <w:p>
            <w:pPr>
              <w:spacing w:before="0" w:after="0" w:line="240" w:lineRule="auto"/>
              <w:jc w:val="left"/>
            </w:pPr>
            <w:r/>
            <w:r>
              <w:rPr>
                <w:rFonts w:ascii="Arial" w:hAnsi="Arial" w:eastAsia="Arial"/>
                <w:b/>
                <w:color w:val="0B2545"/>
                <w:sz w:val="19"/>
              </w:rPr>
              <w:t>Checkpoint</w:t>
            </w:r>
          </w:p>
        </w:tc>
        <w:tc>
          <w:tcPr>
            <w:tcW w:type="dxa" w:w="2520"/>
            <w:tcMar>
              <w:top w:w="72" w:type="dxa"/>
              <w:start w:w="120" w:type="dxa"/>
              <w:bottom w:w="72" w:type="dxa"/>
              <w:end w:w="120" w:type="dxa"/>
            </w:tcMar>
            <w:vAlign w:val="center"/>
            <w:shd w:fill="F1F3F6"/>
          </w:tcPr>
          <w:p>
            <w:pPr>
              <w:spacing w:before="0" w:after="0" w:line="240" w:lineRule="auto"/>
              <w:jc w:val="left"/>
            </w:pPr>
            <w:r/>
            <w:r>
              <w:rPr>
                <w:rFonts w:ascii="Arial" w:hAnsi="Arial" w:eastAsia="Arial"/>
                <w:b/>
                <w:color w:val="0B2545"/>
                <w:sz w:val="19"/>
              </w:rPr>
              <w:t>Decision owner</w:t>
            </w:r>
          </w:p>
        </w:tc>
        <w:tc>
          <w:tcPr>
            <w:tcW w:type="dxa" w:w="4392"/>
            <w:tcMar>
              <w:top w:w="72" w:type="dxa"/>
              <w:start w:w="120" w:type="dxa"/>
              <w:bottom w:w="72" w:type="dxa"/>
              <w:end w:w="120" w:type="dxa"/>
            </w:tcMar>
            <w:vAlign w:val="center"/>
            <w:shd w:fill="F1F3F6"/>
          </w:tcPr>
          <w:p>
            <w:pPr>
              <w:spacing w:before="0" w:after="0" w:line="240" w:lineRule="auto"/>
              <w:jc w:val="left"/>
            </w:pPr>
            <w:r/>
            <w:r>
              <w:rPr>
                <w:rFonts w:ascii="Arial" w:hAnsi="Arial" w:eastAsia="Arial"/>
                <w:b/>
                <w:color w:val="0B2545"/>
                <w:sz w:val="19"/>
              </w:rPr>
              <w:t>Record in Jira / meeting notes</w:t>
            </w:r>
          </w:p>
        </w:tc>
      </w:tr>
      <w:tr>
        <w:tc>
          <w:tcPr>
            <w:tcW w:type="dxa" w:w="2448"/>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Package identity</w:t>
            </w:r>
          </w:p>
        </w:tc>
        <w:tc>
          <w:tcPr>
            <w:tcW w:type="dxa" w:w="2520"/>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David / Salesforce Admin</w:t>
            </w:r>
          </w:p>
        </w:tc>
        <w:tc>
          <w:tcPr>
            <w:tcW w:type="dxa" w:w="4392"/>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Pass/fail, timestamp, screenshot, and any mismatch.</w:t>
            </w:r>
          </w:p>
        </w:tc>
      </w:tr>
      <w:tr>
        <w:tc>
          <w:tcPr>
            <w:tcW w:type="dxa" w:w="2448"/>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Authorization app and scopes</w:t>
            </w:r>
          </w:p>
        </w:tc>
        <w:tc>
          <w:tcPr>
            <w:tcW w:type="dxa" w:w="2520"/>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Architect / Security reviewer</w:t>
            </w:r>
          </w:p>
        </w:tc>
        <w:tc>
          <w:tcPr>
            <w:tcW w:type="dxa" w:w="4392"/>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Allow, cancel, or escalate; include the reason.</w:t>
            </w:r>
          </w:p>
        </w:tc>
      </w:tr>
      <w:tr>
        <w:tc>
          <w:tcPr>
            <w:tcW w:type="dxa" w:w="2448"/>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Successful Gong return</w:t>
            </w:r>
          </w:p>
        </w:tc>
        <w:tc>
          <w:tcPr>
            <w:tcW w:type="dxa" w:w="2520"/>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David / Gong owner</w:t>
            </w:r>
          </w:p>
        </w:tc>
        <w:tc>
          <w:tcPr>
            <w:tcW w:type="dxa" w:w="4392"/>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Post-login result and sanitized evidence.</w:t>
            </w:r>
          </w:p>
        </w:tc>
      </w:tr>
      <w:tr>
        <w:tc>
          <w:tcPr>
            <w:tcW w:type="dxa" w:w="2448"/>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Existing connection unchanged</w:t>
            </w:r>
          </w:p>
        </w:tc>
        <w:tc>
          <w:tcPr>
            <w:tcW w:type="dxa" w:w="2520"/>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Gong / Integration owner</w:t>
            </w:r>
          </w:p>
        </w:tc>
        <w:tc>
          <w:tcPr>
            <w:tcW w:type="dxa" w:w="4392"/>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Connection user and import-status confirmation.</w:t>
            </w:r>
          </w:p>
        </w:tc>
      </w:tr>
      <w:tr>
        <w:tc>
          <w:tcPr>
            <w:tcW w:type="dxa" w:w="2448"/>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Story closure</w:t>
            </w:r>
          </w:p>
        </w:tc>
        <w:tc>
          <w:tcPr>
            <w:tcW w:type="dxa" w:w="2520"/>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Story owner / Architect</w:t>
            </w:r>
          </w:p>
        </w:tc>
        <w:tc>
          <w:tcPr>
            <w:tcW w:type="dxa" w:w="4392"/>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All evidence attached or approved exception documented.</w:t>
            </w:r>
          </w:p>
        </w:tc>
      </w:tr>
    </w:tbl>
    <w:p>
      <w:pPr>
        <w:spacing w:after="0" w:before="20"/>
      </w:pPr>
    </w:p>
    <w:tbl>
      <w:tblPr>
        <w:tblW w:type="dxa" w:w="9360"/>
        <w:jc w:val="left"/>
        <w:tblLayout w:type="fixed"/>
        <w:tblLook w:firstColumn="1" w:firstRow="1" w:lastColumn="0" w:lastRow="0" w:noHBand="0" w:noVBand="1" w:val="04A0"/>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9360"/>
      </w:tblGrid>
      <w:tr>
        <w:tc>
          <w:tcPr>
            <w:tcW w:type="dxa" w:w="9360"/>
            <w:tcMar>
              <w:top w:w="110" w:type="dxa"/>
              <w:start w:w="140" w:type="dxa"/>
              <w:bottom w:w="110" w:type="dxa"/>
              <w:end w:w="140" w:type="dxa"/>
            </w:tcMar>
            <w:vAlign w:val="center"/>
            <w:shd w:fill="EAF2FB"/>
          </w:tcPr>
          <w:p>
            <w:pPr>
              <w:spacing w:after="60"/>
            </w:pPr>
            <w:r>
              <w:rPr>
                <w:rFonts w:ascii="Arial" w:hAnsi="Arial" w:eastAsia="Arial"/>
                <w:b/>
                <w:color w:val="2E75B6"/>
                <w:sz w:val="19"/>
              </w:rPr>
              <w:t>DECISION AUTHORITY</w:t>
            </w:r>
          </w:p>
          <w:p>
            <w:pPr>
              <w:spacing w:before="0" w:after="0" w:line="240" w:lineRule="auto"/>
            </w:pPr>
            <w:r>
              <w:rPr>
                <w:rFonts w:ascii="Arial" w:hAnsi="Arial" w:eastAsia="Arial"/>
                <w:b/>
                <w:color w:val="0B2545"/>
                <w:sz w:val="22"/>
              </w:rPr>
              <w:t>David can perform the sandbox admin steps, but clicking Allow should follow the team’s review of the displayed app identity and scopes. Production authorization is not part of this runbook.</w:t>
            </w:r>
          </w:p>
        </w:tc>
      </w:tr>
    </w:tbl>
    <w:p>
      <w:pPr>
        <w:spacing w:after="0" w:before="20"/>
      </w:pPr>
    </w:p>
    <w:p>
      <w:r>
        <w:br w:type="page"/>
      </w:r>
    </w:p>
    <w:p>
      <w:pPr>
        <w:pStyle w:val="Heading1"/>
        <w:keepNext/>
        <w:pageBreakBefore w:val="0"/>
      </w:pPr>
      <w:r>
        <w:rPr>
          <w:rFonts w:ascii="Arial" w:hAnsi="Arial" w:eastAsia="Arial"/>
          <w:b/>
          <w:color w:val="2E75B6"/>
          <w:sz w:val="33"/>
        </w:rPr>
        <w:t>Troubleshooting and escalation</w:t>
      </w:r>
    </w:p>
    <w:tbl>
      <w:tblPr>
        <w:tblW w:type="dxa" w:w="9360"/>
        <w:tblLayout w:type="fixed"/>
        <w:tblLook w:firstColumn="1" w:firstRow="1" w:lastColumn="0" w:lastRow="0" w:noHBand="0" w:noVBand="1" w:val="04A0"/>
        <w:jc w:val="left"/>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304"/>
        <w:gridCol w:w="3672"/>
        <w:gridCol w:w="3384"/>
      </w:tblGrid>
      <w:tr>
        <w:trPr>
          <w:tblHeader w:val="true"/>
        </w:trPr>
        <w:tc>
          <w:tcPr>
            <w:tcW w:type="dxa" w:w="2304"/>
            <w:tcMar>
              <w:top w:w="72" w:type="dxa"/>
              <w:start w:w="120" w:type="dxa"/>
              <w:bottom w:w="72" w:type="dxa"/>
              <w:end w:w="120" w:type="dxa"/>
            </w:tcMar>
            <w:vAlign w:val="center"/>
            <w:shd w:fill="F1F3F6"/>
          </w:tcPr>
          <w:p>
            <w:pPr>
              <w:spacing w:before="0" w:after="0" w:line="240" w:lineRule="auto"/>
              <w:jc w:val="left"/>
            </w:pPr>
            <w:r/>
            <w:r>
              <w:rPr>
                <w:rFonts w:ascii="Arial" w:hAnsi="Arial" w:eastAsia="Arial"/>
                <w:b/>
                <w:color w:val="0B2545"/>
                <w:sz w:val="19"/>
              </w:rPr>
              <w:t>Symptom</w:t>
            </w:r>
          </w:p>
        </w:tc>
        <w:tc>
          <w:tcPr>
            <w:tcW w:type="dxa" w:w="3672"/>
            <w:tcMar>
              <w:top w:w="72" w:type="dxa"/>
              <w:start w:w="120" w:type="dxa"/>
              <w:bottom w:w="72" w:type="dxa"/>
              <w:end w:w="120" w:type="dxa"/>
            </w:tcMar>
            <w:vAlign w:val="center"/>
            <w:shd w:fill="F1F3F6"/>
          </w:tcPr>
          <w:p>
            <w:pPr>
              <w:spacing w:before="0" w:after="0" w:line="240" w:lineRule="auto"/>
              <w:jc w:val="left"/>
            </w:pPr>
            <w:r/>
            <w:r>
              <w:rPr>
                <w:rFonts w:ascii="Arial" w:hAnsi="Arial" w:eastAsia="Arial"/>
                <w:b/>
                <w:color w:val="0B2545"/>
                <w:sz w:val="19"/>
              </w:rPr>
              <w:t>Safe diagnostic</w:t>
            </w:r>
          </w:p>
        </w:tc>
        <w:tc>
          <w:tcPr>
            <w:tcW w:type="dxa" w:w="3384"/>
            <w:tcMar>
              <w:top w:w="72" w:type="dxa"/>
              <w:start w:w="120" w:type="dxa"/>
              <w:bottom w:w="72" w:type="dxa"/>
              <w:end w:w="120" w:type="dxa"/>
            </w:tcMar>
            <w:vAlign w:val="center"/>
            <w:shd w:fill="F1F3F6"/>
          </w:tcPr>
          <w:p>
            <w:pPr>
              <w:spacing w:before="0" w:after="0" w:line="240" w:lineRule="auto"/>
              <w:jc w:val="left"/>
            </w:pPr>
            <w:r/>
            <w:r>
              <w:rPr>
                <w:rFonts w:ascii="Arial" w:hAnsi="Arial" w:eastAsia="Arial"/>
                <w:b/>
                <w:color w:val="0B2545"/>
                <w:sz w:val="19"/>
              </w:rPr>
              <w:t>Next action</w:t>
            </w:r>
          </w:p>
        </w:tc>
      </w:tr>
      <w:tr>
        <w:tc>
          <w:tcPr>
            <w:tcW w:type="dxa" w:w="2304"/>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Gong ECA is not listed</w:t>
            </w:r>
          </w:p>
        </w:tc>
        <w:tc>
          <w:tcPr>
            <w:tcW w:type="dxa" w:w="3672"/>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Confirm Sandbox (Partial), admin access, and package filters.</w:t>
            </w:r>
          </w:p>
        </w:tc>
        <w:tc>
          <w:tcPr>
            <w:tcW w:type="dxa" w:w="3384"/>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Stop and notify the Salesforce admin; do not reinstall without approval.</w:t>
            </w:r>
          </w:p>
        </w:tc>
      </w:tr>
      <w:tr>
        <w:tc>
          <w:tcPr>
            <w:tcW w:type="dxa" w:w="2304"/>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Package version or ID differs</w:t>
            </w:r>
          </w:p>
        </w:tc>
        <w:tc>
          <w:tcPr>
            <w:tcW w:type="dxa" w:w="3672"/>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Read all identity fields from the detail page.</w:t>
            </w:r>
          </w:p>
        </w:tc>
        <w:tc>
          <w:tcPr>
            <w:tcW w:type="dxa" w:w="3384"/>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Capture evidence and compare with the vendor-provided installation instruction.</w:t>
            </w:r>
          </w:p>
        </w:tc>
      </w:tr>
      <w:tr>
        <w:tc>
          <w:tcPr>
            <w:tcW w:type="dxa" w:w="2304"/>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Wrong Salesforce login domain</w:t>
            </w:r>
          </w:p>
        </w:tc>
        <w:tc>
          <w:tcPr>
            <w:tcW w:type="dxa" w:w="3672"/>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Cancel and choose Use Custom Domain.</w:t>
            </w:r>
          </w:p>
        </w:tc>
        <w:tc>
          <w:tcPr>
            <w:tcW w:type="dxa" w:w="3384"/>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Enter flywire--partial.sandbox and reconfirm the sandbox banner.</w:t>
            </w:r>
          </w:p>
        </w:tc>
      </w:tr>
      <w:tr>
        <w:tc>
          <w:tcPr>
            <w:tcW w:type="dxa" w:w="2304"/>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No Allow page appears</w:t>
            </w:r>
          </w:p>
        </w:tc>
        <w:tc>
          <w:tcPr>
            <w:tcW w:type="dxa" w:w="3672"/>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Check whether the user/app was already authorized and which org session is active.</w:t>
            </w:r>
          </w:p>
        </w:tc>
        <w:tc>
          <w:tcPr>
            <w:tcW w:type="dxa" w:w="3384"/>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Verify current connected-app authorization before treating the test as passed.</w:t>
            </w:r>
          </w:p>
        </w:tc>
      </w:tr>
      <w:tr>
        <w:tc>
          <w:tcPr>
            <w:tcW w:type="dxa" w:w="2304"/>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OAuth or redirect error</w:t>
            </w:r>
          </w:p>
        </w:tc>
        <w:tc>
          <w:tcPr>
            <w:tcW w:type="dxa" w:w="3672"/>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Record the sanitized message, timestamp, browser, and exact step.</w:t>
            </w:r>
          </w:p>
        </w:tc>
        <w:tc>
          <w:tcPr>
            <w:tcW w:type="dxa" w:w="3384"/>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Retry only from the stable Gong sign-in URL; escalate persistent errors to Gong.</w:t>
            </w:r>
          </w:p>
        </w:tc>
      </w:tr>
      <w:tr>
        <w:tc>
          <w:tcPr>
            <w:tcW w:type="dxa" w:w="2304"/>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Gong redirects to setup</w:t>
            </w:r>
          </w:p>
        </w:tc>
        <w:tc>
          <w:tcPr>
            <w:tcW w:type="dxa" w:w="3672"/>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Reconfirm package identity and Salesforce authentication target.</w:t>
            </w:r>
          </w:p>
        </w:tc>
        <w:tc>
          <w:tcPr>
            <w:tcW w:type="dxa" w:w="3384"/>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Attach evidence and open a Gong support case if the package is correct.</w:t>
            </w:r>
          </w:p>
        </w:tc>
      </w:tr>
      <w:tr>
        <w:tc>
          <w:tcPr>
            <w:tcW w:type="dxa" w:w="2304"/>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CRM import status changes</w:t>
            </w:r>
          </w:p>
        </w:tc>
        <w:tc>
          <w:tcPr>
            <w:tcW w:type="dxa" w:w="3672"/>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Review Gong Admin Center &gt; Salesforce &gt; Connection and import indicators.</w:t>
            </w:r>
          </w:p>
        </w:tc>
        <w:tc>
          <w:tcPr>
            <w:tcW w:type="dxa" w:w="3384"/>
            <w:tcMar>
              <w:top w:w="72" w:type="dxa"/>
              <w:start w:w="120" w:type="dxa"/>
              <w:bottom w:w="72" w:type="dxa"/>
              <w:end w:w="120" w:type="dxa"/>
            </w:tcMar>
            <w:vAlign w:val="center"/>
          </w:tcPr>
          <w:p>
            <w:pPr>
              <w:spacing w:before="0" w:after="0" w:line="240" w:lineRule="auto"/>
              <w:jc w:val="left"/>
            </w:pPr>
            <w:r/>
            <w:r>
              <w:rPr>
                <w:rFonts w:ascii="Arial" w:hAnsi="Arial" w:eastAsia="Arial"/>
                <w:b w:val="0"/>
                <w:color w:val="263445"/>
                <w:sz w:val="18"/>
              </w:rPr>
              <w:t>Stop; do not reconnect. Escalate to the Gong/Salesforce integration owner.</w:t>
            </w:r>
          </w:p>
        </w:tc>
      </w:tr>
    </w:tbl>
    <w:p>
      <w:pPr>
        <w:spacing w:after="0" w:before="20"/>
      </w:pPr>
    </w:p>
    <w:p>
      <w:pPr>
        <w:pStyle w:val="Heading2"/>
        <w:keepNext/>
        <w:pageBreakBefore w:val="0"/>
      </w:pPr>
      <w:r>
        <w:rPr>
          <w:rFonts w:ascii="Arial" w:hAnsi="Arial" w:eastAsia="Arial"/>
          <w:b/>
          <w:color w:val="2E75B6"/>
          <w:sz w:val="26"/>
        </w:rPr>
        <w:t>Security and change controls</w:t>
      </w:r>
    </w:p>
    <w:p>
      <w:pPr>
        <w:pStyle w:val="ListBullet"/>
        <w:spacing w:before="0" w:after="60"/>
        <w:ind w:left="360" w:hanging="216"/>
      </w:pPr>
      <w:r>
        <w:rPr>
          <w:rFonts w:ascii="Arial" w:hAnsi="Arial" w:eastAsia="Arial"/>
          <w:color w:val="263445"/>
          <w:sz w:val="21"/>
        </w:rPr>
        <w:t>Never paste Salesforce frontdoor URLs, sid values, access tokens, refresh tokens, OAuth callback URLs, or long source= links into Zoom/Jira/chat.</w:t>
      </w:r>
    </w:p>
    <w:p>
      <w:pPr>
        <w:pStyle w:val="ListBullet"/>
        <w:spacing w:before="0" w:after="60"/>
        <w:ind w:left="360" w:hanging="216"/>
      </w:pPr>
      <w:r>
        <w:rPr>
          <w:rFonts w:ascii="Arial" w:hAnsi="Arial" w:eastAsia="Arial"/>
          <w:color w:val="263445"/>
          <w:sz w:val="21"/>
        </w:rPr>
        <w:t>Use only the stable Installed Packages and Gong sign-in links printed in this runbook.</w:t>
      </w:r>
    </w:p>
    <w:p>
      <w:pPr>
        <w:pStyle w:val="ListBullet"/>
        <w:spacing w:before="0" w:after="60"/>
        <w:ind w:left="360" w:hanging="216"/>
      </w:pPr>
      <w:r>
        <w:rPr>
          <w:rFonts w:ascii="Arial" w:hAnsi="Arial" w:eastAsia="Arial"/>
          <w:color w:val="263445"/>
          <w:sz w:val="21"/>
        </w:rPr>
        <w:t>Do not uninstall Gong ECA, disconnect/reconnect ada+gong@flywire.com, change integration scopes, or enable writeback as part of this verification.</w:t>
      </w:r>
    </w:p>
    <w:p>
      <w:pPr>
        <w:pStyle w:val="ListBullet"/>
        <w:spacing w:before="0" w:after="60"/>
        <w:ind w:left="360" w:hanging="216"/>
      </w:pPr>
      <w:r>
        <w:rPr>
          <w:rFonts w:ascii="Arial" w:hAnsi="Arial" w:eastAsia="Arial"/>
          <w:color w:val="263445"/>
          <w:sz w:val="21"/>
        </w:rPr>
        <w:t>Do not repeat the action in Production until the sandbox test is complete and a separately approved Production plan exists.</w:t>
      </w:r>
    </w:p>
    <w:tbl>
      <w:tblPr>
        <w:tblW w:type="dxa" w:w="9360"/>
        <w:jc w:val="left"/>
        <w:tblLayout w:type="fixed"/>
        <w:tblLook w:firstColumn="1" w:firstRow="1" w:lastColumn="0" w:lastRow="0" w:noHBand="0" w:noVBand="1" w:val="04A0"/>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9360"/>
      </w:tblGrid>
      <w:tr>
        <w:tc>
          <w:tcPr>
            <w:tcW w:type="dxa" w:w="9360"/>
            <w:tcMar>
              <w:top w:w="110" w:type="dxa"/>
              <w:start w:w="140" w:type="dxa"/>
              <w:bottom w:w="110" w:type="dxa"/>
              <w:end w:w="140" w:type="dxa"/>
            </w:tcMar>
            <w:vAlign w:val="center"/>
            <w:shd w:fill="EAF2FB"/>
          </w:tcPr>
          <w:p>
            <w:pPr>
              <w:spacing w:after="60"/>
            </w:pPr>
            <w:r>
              <w:rPr>
                <w:rFonts w:ascii="Arial" w:hAnsi="Arial" w:eastAsia="Arial"/>
                <w:b/>
                <w:color w:val="2E75B6"/>
                <w:sz w:val="19"/>
              </w:rPr>
              <w:t>ESCALATION PACKAGE</w:t>
            </w:r>
          </w:p>
          <w:p>
            <w:pPr>
              <w:spacing w:before="0" w:after="0" w:line="240" w:lineRule="auto"/>
            </w:pPr>
            <w:r>
              <w:rPr>
                <w:rFonts w:ascii="Arial" w:hAnsi="Arial" w:eastAsia="Arial"/>
                <w:b/>
                <w:color w:val="0B2545"/>
                <w:sz w:val="22"/>
              </w:rPr>
              <w:t>Send Gong Support the sanitized error, timestamp/time zone, Gong workspace URL, Salesforce sandbox domain, package name/version/namespace/ID, and the failed step. Exclude all tokens and session-specific URLs.</w:t>
            </w:r>
          </w:p>
        </w:tc>
      </w:tr>
    </w:tbl>
    <w:p>
      <w:pPr>
        <w:spacing w:after="0" w:before="20"/>
      </w:pPr>
    </w:p>
    <w:p>
      <w:r>
        <w:br w:type="page"/>
      </w:r>
    </w:p>
    <w:p>
      <w:pPr>
        <w:pStyle w:val="Heading1"/>
        <w:keepNext/>
        <w:pageBreakBefore w:val="0"/>
      </w:pPr>
      <w:r>
        <w:rPr>
          <w:rFonts w:ascii="Arial" w:hAnsi="Arial" w:eastAsia="Arial"/>
          <w:b/>
          <w:color w:val="2E75B6"/>
          <w:sz w:val="33"/>
        </w:rPr>
        <w:t>Team handoff and copy-paste communications</w:t>
      </w:r>
    </w:p>
    <w:p>
      <w:pPr>
        <w:pStyle w:val="Heading2"/>
        <w:keepNext/>
        <w:pageBreakBefore w:val="0"/>
      </w:pPr>
      <w:r>
        <w:rPr>
          <w:rFonts w:ascii="Arial" w:hAnsi="Arial" w:eastAsia="Arial"/>
          <w:b/>
          <w:color w:val="2E75B6"/>
          <w:sz w:val="26"/>
        </w:rPr>
        <w:t>Links to send David in Zoom</w:t>
      </w:r>
    </w:p>
    <w:p>
      <w:pPr>
        <w:spacing w:after="60"/>
      </w:pPr>
      <w:r>
        <w:rPr>
          <w:rFonts w:ascii="Arial" w:hAnsi="Arial" w:eastAsia="Arial"/>
          <w:b/>
          <w:color w:val="0B2545"/>
          <w:sz w:val="21"/>
        </w:rPr>
        <w:t xml:space="preserve">1. Verify the installed package: </w:t>
      </w:r>
      <w:hyperlink r:id="rId18">
        <w:r>
          <w:rPr>
            <w:rFonts w:ascii="Arial" w:hAnsi="Arial"/>
            <w:color w:val="2E75B6"/>
            <w:u w:val="single"/>
            <w:sz w:val="21"/>
          </w:rPr>
          <w:t>https://flywire--partial.sandbox.lightning.force.com/lightning/setup/ImportedPackage/home</w:t>
        </w:r>
      </w:hyperlink>
    </w:p>
    <w:p>
      <w:pPr>
        <w:spacing w:after="60"/>
      </w:pPr>
      <w:r>
        <w:rPr>
          <w:rFonts w:ascii="Arial" w:hAnsi="Arial" w:eastAsia="Arial"/>
          <w:b/>
          <w:color w:val="0B2545"/>
          <w:sz w:val="21"/>
        </w:rPr>
        <w:t xml:space="preserve">2. Test Gong Salesforce login: </w:t>
      </w:r>
      <w:hyperlink r:id="rId19">
        <w:r>
          <w:rPr>
            <w:rFonts w:ascii="Arial" w:hAnsi="Arial"/>
            <w:color w:val="2E75B6"/>
            <w:u w:val="single"/>
            <w:sz w:val="21"/>
          </w:rPr>
          <w:t>https://us-4592.app.gong.io/welcome/sign-in?targeturl=%2Fhome</w:t>
        </w:r>
      </w:hyperlink>
    </w:p>
    <w:p>
      <w:pPr>
        <w:pStyle w:val="Heading2"/>
        <w:keepNext/>
        <w:pageBreakBefore w:val="0"/>
      </w:pPr>
      <w:r>
        <w:rPr>
          <w:rFonts w:ascii="Arial" w:hAnsi="Arial" w:eastAsia="Arial"/>
          <w:b/>
          <w:color w:val="2E75B6"/>
          <w:sz w:val="26"/>
        </w:rPr>
        <w:t>Exact Zoom chat message</w:t>
      </w:r>
    </w:p>
    <w:tbl>
      <w:tblPr>
        <w:tblW w:type="dxa" w:w="9360"/>
        <w:jc w:val="left"/>
        <w:tblLayout w:type="fixed"/>
        <w:tblLook w:firstColumn="1" w:firstRow="1" w:lastColumn="0" w:lastRow="0" w:noHBand="0" w:noVBand="1" w:val="04A0"/>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9360"/>
      </w:tblGrid>
      <w:tr>
        <w:tc>
          <w:tcPr>
            <w:tcW w:type="dxa" w:w="9360"/>
            <w:tcMar>
              <w:top w:w="110" w:type="dxa"/>
              <w:start w:w="140" w:type="dxa"/>
              <w:bottom w:w="110" w:type="dxa"/>
              <w:end w:w="140" w:type="dxa"/>
            </w:tcMar>
            <w:vAlign w:val="center"/>
            <w:shd w:fill="EAF2FB"/>
          </w:tcPr>
          <w:p>
            <w:pPr>
              <w:spacing w:after="60"/>
            </w:pPr>
            <w:r>
              <w:rPr>
                <w:rFonts w:ascii="Arial" w:hAnsi="Arial" w:eastAsia="Arial"/>
                <w:b/>
                <w:color w:val="2E75B6"/>
                <w:sz w:val="19"/>
              </w:rPr>
              <w:t>COPY AND PASTE</w:t>
            </w:r>
          </w:p>
          <w:p>
            <w:pPr>
              <w:spacing w:before="0" w:after="0" w:line="240" w:lineRule="auto"/>
            </w:pPr>
            <w:r>
              <w:rPr>
                <w:rFonts w:ascii="Arial" w:hAnsi="Arial" w:eastAsia="Arial"/>
                <w:b/>
                <w:color w:val="0B2545"/>
                <w:sz w:val="19"/>
              </w:rPr>
              <w:t>Hi David, please open the Salesforce Installed Packages link and confirm that Gong ECA v0.1, namespace gongeca, is installed in Sandbox (Partial). Then open the Gong sign-in link and select Sign in with Salesforce. If prompted, choose Use Custom Domain and enter flywire--partial.sandbox. Please share your screen and stop at any Allow/Authorization page so we can verify the scopes before proceeding.</w:t>
            </w:r>
          </w:p>
        </w:tc>
      </w:tr>
    </w:tbl>
    <w:p>
      <w:pPr>
        <w:spacing w:after="0" w:before="20"/>
      </w:pPr>
    </w:p>
    <w:p>
      <w:pPr>
        <w:pStyle w:val="Heading2"/>
        <w:keepNext/>
        <w:pageBreakBefore w:val="0"/>
      </w:pPr>
      <w:r>
        <w:rPr>
          <w:rFonts w:ascii="Arial" w:hAnsi="Arial" w:eastAsia="Arial"/>
          <w:b/>
          <w:color w:val="2E75B6"/>
          <w:sz w:val="26"/>
        </w:rPr>
        <w:t>Meeting talk track</w:t>
      </w:r>
    </w:p>
    <w:p>
      <w:pPr>
        <w:pStyle w:val="ListBullet"/>
        <w:spacing w:before="0" w:after="60"/>
        <w:ind w:left="360" w:hanging="216"/>
      </w:pPr>
      <w:r>
        <w:rPr>
          <w:rFonts w:ascii="Arial" w:hAnsi="Arial" w:eastAsia="Arial"/>
          <w:color w:val="263445"/>
          <w:sz w:val="21"/>
        </w:rPr>
        <w:t>We are validating SALDEV-1469 only in Sandbox (Partial).</w:t>
      </w:r>
    </w:p>
    <w:p>
      <w:pPr>
        <w:pStyle w:val="ListBullet"/>
        <w:spacing w:before="0" w:after="60"/>
        <w:ind w:left="360" w:hanging="216"/>
      </w:pPr>
      <w:r>
        <w:rPr>
          <w:rFonts w:ascii="Arial" w:hAnsi="Arial" w:eastAsia="Arial"/>
          <w:color w:val="263445"/>
          <w:sz w:val="21"/>
        </w:rPr>
        <w:t>First, confirm the exact Gong ECA package identity in Salesforce Setup.</w:t>
      </w:r>
    </w:p>
    <w:p>
      <w:pPr>
        <w:pStyle w:val="ListBullet"/>
        <w:spacing w:before="0" w:after="60"/>
        <w:ind w:left="360" w:hanging="216"/>
      </w:pPr>
      <w:r>
        <w:rPr>
          <w:rFonts w:ascii="Arial" w:hAnsi="Arial" w:eastAsia="Arial"/>
          <w:color w:val="263445"/>
          <w:sz w:val="21"/>
        </w:rPr>
        <w:t>Next, start Sign in with Salesforce and use flywire--partial.sandbox if a custom domain is requested.</w:t>
      </w:r>
    </w:p>
    <w:p>
      <w:pPr>
        <w:pStyle w:val="ListBullet"/>
        <w:spacing w:before="0" w:after="60"/>
        <w:ind w:left="360" w:hanging="216"/>
      </w:pPr>
      <w:r>
        <w:rPr>
          <w:rFonts w:ascii="Arial" w:hAnsi="Arial" w:eastAsia="Arial"/>
          <w:color w:val="263445"/>
          <w:sz w:val="21"/>
        </w:rPr>
        <w:t>Please stop before clicking Allow so we can verify the External Client App and requested scopes together.</w:t>
      </w:r>
    </w:p>
    <w:p>
      <w:pPr>
        <w:pStyle w:val="ListBullet"/>
        <w:spacing w:before="0" w:after="60"/>
        <w:ind w:left="360" w:hanging="216"/>
      </w:pPr>
      <w:r>
        <w:rPr>
          <w:rFonts w:ascii="Arial" w:hAnsi="Arial" w:eastAsia="Arial"/>
          <w:color w:val="263445"/>
          <w:sz w:val="21"/>
        </w:rPr>
        <w:t>After login, we will confirm Gong opens and that the existing ada+gong@flywire.com CRM import connection remains unchanged.</w:t>
      </w:r>
    </w:p>
    <w:p>
      <w:pPr>
        <w:pStyle w:val="Heading2"/>
        <w:keepNext/>
        <w:pageBreakBefore w:val="0"/>
      </w:pPr>
      <w:r>
        <w:rPr>
          <w:rFonts w:ascii="Arial" w:hAnsi="Arial" w:eastAsia="Arial"/>
          <w:b/>
          <w:color w:val="2E75B6"/>
          <w:sz w:val="26"/>
        </w:rPr>
        <w:t>Ready-to-paste Jira update</w:t>
      </w:r>
    </w:p>
    <w:tbl>
      <w:tblPr>
        <w:tblW w:type="dxa" w:w="9360"/>
        <w:jc w:val="left"/>
        <w:tblLayout w:type="fixed"/>
        <w:tblLook w:firstColumn="1" w:firstRow="1" w:lastColumn="0" w:lastRow="0" w:noHBand="0" w:noVBand="1" w:val="04A0"/>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9360"/>
      </w:tblGrid>
      <w:tr>
        <w:tc>
          <w:tcPr>
            <w:tcW w:type="dxa" w:w="9360"/>
            <w:tcMar>
              <w:top w:w="110" w:type="dxa"/>
              <w:start w:w="140" w:type="dxa"/>
              <w:bottom w:w="110" w:type="dxa"/>
              <w:end w:w="140" w:type="dxa"/>
            </w:tcMar>
            <w:vAlign w:val="center"/>
            <w:shd w:fill="EAF2FB"/>
          </w:tcPr>
          <w:p>
            <w:pPr>
              <w:spacing w:after="60"/>
            </w:pPr>
            <w:r>
              <w:rPr>
                <w:rFonts w:ascii="Arial" w:hAnsi="Arial" w:eastAsia="Arial"/>
                <w:b/>
                <w:color w:val="2E75B6"/>
                <w:sz w:val="19"/>
              </w:rPr>
              <w:t>STORY COMMENT</w:t>
            </w:r>
          </w:p>
          <w:p>
            <w:pPr>
              <w:spacing w:before="0" w:after="0" w:line="240" w:lineRule="auto"/>
            </w:pPr>
            <w:r>
              <w:rPr>
                <w:rFonts w:ascii="Arial" w:hAnsi="Arial" w:eastAsia="Arial"/>
                <w:b/>
                <w:color w:val="0B2545"/>
                <w:sz w:val="18"/>
              </w:rPr>
              <w:t>SALDEV-1469 update: Gong ECA is installed in Flywire Sandbox (Partial) and the package identity was observed as version 0.1, namespace gongeca, package ID 0337y000005iObdAAE. The existing Gong Salesforce CRM connection remains associated with ada+gong@flywire.com and showed active imports. Next, David will verify the package on screen and run Sign in with Salesforce using custom domain flywire--partial.sandbox. We will stop at the Allow/Authorization page to review the External Client App identity and scopes before proceeding, then confirm Gong home access and recheck the existing CRM connection. No Production change, package uninstall/reinstall, CRM disconnect/reconnect, writeback change, or session-specific OAuth URL sharing is included in this story verification.</w:t>
            </w:r>
          </w:p>
        </w:tc>
      </w:tr>
    </w:tbl>
    <w:p>
      <w:pPr>
        <w:spacing w:after="0" w:before="20"/>
      </w:pPr>
    </w:p>
    <w:sectPr w:rsidR="00FC693F" w:rsidRPr="0006063C" w:rsidSect="00034616">
      <w:headerReference w:type="default" r:id="rId9"/>
      <w:headerReference w:type="even" r:id="rId10"/>
      <w:headerReference w:type="first" r:id="rId11"/>
      <w:footerReference w:type="default" r:id="rId12"/>
      <w:footerReference w:type="even" r:id="rId13"/>
      <w:footerReference w:type="first" r:id="rId1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
      <w:rPr>
        <w:rFonts w:ascii="Arial" w:hAnsi="Arial"/>
        <w:b w:val="0"/>
        <w:i w:val="0"/>
        <w:color w:val="5B6777"/>
        <w:sz w:val="18"/>
      </w:rPr>
      <w:t xml:space="preserve">FlywirePartial  |  Page </w:t>
    </w:r>
    <w:r>
      <w:rPr>
        <w:rFonts w:ascii="Arial" w:hAnsi="Arial"/>
        <w:b w:val="0"/>
        <w:i w:val="0"/>
        <w:color w:val="5B6777"/>
        <w:sz w:val="18"/>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
      <w:rPr>
        <w:rFonts w:ascii="Arial" w:hAnsi="Arial"/>
        <w:b w:val="0"/>
        <w:i w:val="0"/>
        <w:color w:val="5B6777"/>
        <w:sz w:val="18"/>
      </w:rPr>
      <w:t xml:space="preserve">FlywirePartial  |  Page </w:t>
    </w:r>
    <w:r>
      <w:rPr>
        <w:rFonts w:ascii="Arial" w:hAnsi="Arial"/>
        <w:b w:val="0"/>
        <w:i w:val="0"/>
        <w:color w:val="5B6777"/>
        <w:sz w:val="18"/>
      </w:rP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
      <w:rPr>
        <w:rFonts w:ascii="Arial" w:hAnsi="Arial"/>
        <w:b w:val="0"/>
        <w:i w:val="0"/>
        <w:color w:val="5B6777"/>
        <w:sz w:val="18"/>
      </w:rPr>
      <w:t xml:space="preserve">FlywirePartial  |  Page </w:t>
    </w:r>
    <w:r>
      <w:rPr>
        <w:rFonts w:ascii="Arial" w:hAnsi="Arial"/>
        <w:b w:val="0"/>
        <w:i w:val="0"/>
        <w:color w:val="5B6777"/>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59" w:lineRule="auto"/>
    </w:pPr>
    <w:rPr>
      <w:rFonts w:ascii="Arial" w:hAnsi="Arial"/>
      <w:color w:val="26344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2E75B6"/>
      <w:sz w:val="33"/>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B25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hyperlink" Target="https://flywire--partial.sandbox.lightning.force.com/lightning/setup/ImportedPackage/home" TargetMode="External"/><Relationship Id="rId19" Type="http://schemas.openxmlformats.org/officeDocument/2006/relationships/hyperlink" Target="https://us-4592.app.gong.io/welcome/sign-in?targeturl=%2Fho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SALDEV-1469 Gong ECA Verification Runbook</dc:title>
  <dc:subject>Gong External Client App installation verification and Salesforce sign-in test</dc:subject>
  <dc:creator>Flywire Salesforce Architecture Review</dc:creator>
  <cp:keywords>SALDEV-1469, Gong ECA, Salesforce, OAuth, External Client App, FlywirePartial</cp:keywords>
  <dc:description>Architect review packet derived from the SCC-4179 reference design.</dc:description>
  <cp:lastModifiedBy/>
  <cp:revision>1</cp:revision>
  <dcterms:created xsi:type="dcterms:W3CDTF">2013-12-23T23:15:00Z</dcterms:created>
  <dcterms:modified xsi:type="dcterms:W3CDTF">2026-08-25T23:32:47Z</dcterms:modified>
  <cp:category/>
</cp:coreProperties>
</file>