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  <w:b/>
          <w:color w:val="2E75B6"/>
          <w:sz w:val="22"/>
        </w:rPr>
        <w:t>ARCHITECT REVIEW</w:t>
      </w:r>
    </w:p>
    <w:p>
      <w:pPr>
        <w:spacing w:after="80" w:line="228" w:lineRule="auto"/>
      </w:pPr>
      <w:r>
        <w:rPr>
          <w:rFonts w:ascii="Arial" w:hAnsi="Arial" w:eastAsia="Arial"/>
          <w:b/>
          <w:color w:val="0B2545"/>
          <w:sz w:val="51"/>
        </w:rPr>
        <w:t>SALDEV-1499 | Quote Line Type</w:t>
        <w:br/>
        <w:t>Flow Deactivation</w:t>
      </w:r>
    </w:p>
    <w:p>
      <w:pPr>
        <w:spacing w:after="280"/>
      </w:pPr>
      <w:r>
        <w:rPr>
          <w:rFonts w:ascii="Arial" w:hAnsi="Arial" w:eastAsia="Arial"/>
          <w:color w:val="5E6B7E"/>
          <w:sz w:val="26"/>
        </w:rPr>
        <w:t>Flywire Partial sandbox | Read-only implementation and promotion-readiness assessment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1"/>
        <w:gridCol w:w="7459"/>
      </w:tblGrid>
      <w:tr>
        <w:trPr>
          <w:tblHeader w:val="true"/>
        </w:trPr>
        <w:tc>
          <w:tcPr>
            <w:tcW w:type="dxa" w:w="190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Environment</w:t>
            </w:r>
          </w:p>
        </w:tc>
        <w:tc>
          <w:tcPr>
            <w:tcW w:type="dxa" w:w="745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FlywirePartial | Org 00DhG0000000jOX | Sandbox</w:t>
            </w:r>
          </w:p>
        </w:tc>
      </w:tr>
      <w:tr>
        <w:tc>
          <w:tcPr>
            <w:tcW w:type="dxa" w:w="190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Review date</w:t>
            </w:r>
          </w:p>
        </w:tc>
        <w:tc>
          <w:tcPr>
            <w:tcW w:type="dxa" w:w="745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28 August 2026</w:t>
            </w:r>
          </w:p>
        </w:tc>
      </w:tr>
      <w:tr>
        <w:tc>
          <w:tcPr>
            <w:tcW w:type="dxa" w:w="190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Evidence</w:t>
            </w:r>
          </w:p>
        </w:tc>
        <w:tc>
          <w:tcPr>
            <w:tcW w:type="dxa" w:w="745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Live FlowDefinition/Flow/Apex read-back | unit-test results | coverage | source inspection</w:t>
            </w:r>
          </w:p>
        </w:tc>
      </w:tr>
      <w:tr>
        <w:tc>
          <w:tcPr>
            <w:tcW w:type="dxa" w:w="190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Decision</w:t>
            </w:r>
          </w:p>
        </w:tc>
        <w:tc>
          <w:tcPr>
            <w:tcW w:type="dxa" w:w="745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Changes Requested - not ready for promotion</w:t>
            </w:r>
          </w:p>
        </w:tc>
      </w:tr>
      <w:tr>
        <w:tc>
          <w:tcPr>
            <w:tcW w:type="dxa" w:w="190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Boundary</w:t>
            </w:r>
          </w:p>
        </w:tc>
        <w:tc>
          <w:tcPr>
            <w:tcW w:type="dxa" w:w="745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No code edits, deployment, activation, data changes, or Production changes</w:t>
            </w:r>
          </w:p>
        </w:tc>
      </w:tr>
    </w:tbl>
    <w:p>
      <w:pPr>
        <w:spacing w:after="0" w:before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CEAEA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D13232"/>
                <w:sz w:val="19"/>
              </w:rPr>
              <w:t>ARCHITECT DECISION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2545"/>
                <w:sz w:val="22"/>
              </w:rPr>
              <w:t>Do not promote yet. The legacy Flow is genuinely inactive and the before-save Apex direction removes its extra DML cycle, but the deployed trigger can skip existing rollup logic, formula-dependent fields are copied in the wrong sequence, and the tests do not prove the required field outcomes.</w:t>
            </w:r>
          </w:p>
        </w:tc>
      </w:tr>
    </w:tbl>
    <w:p>
      <w:pPr>
        <w:spacing w:after="0" w:before="2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2E75B6"/>
          <w:sz w:val="33"/>
        </w:rPr>
        <w:t>Acceptance outcome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0"/>
        <w:gridCol w:w="2131"/>
        <w:gridCol w:w="1440"/>
        <w:gridCol w:w="5299"/>
      </w:tblGrid>
      <w:tr>
        <w:trPr>
          <w:tblHeader w:val="true"/>
        </w:trP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#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144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529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1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Flow deactivation</w:t>
            </w:r>
          </w:p>
        </w:tc>
        <w:tc>
          <w:tcPr>
            <w:tcW w:type="dxa" w:w="1440"/>
            <w:shd w:fill="E5F3EF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8A73"/>
                <w:sz w:val="18"/>
              </w:rPr>
              <w:t>Pass</w:t>
            </w:r>
          </w:p>
        </w:tc>
        <w:tc>
          <w:tcPr>
            <w:tcW w:type="dxa" w:w="529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FlowDefinition.ActiveVersionId is null; latest v13 is Obsolete.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2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Root-cause direction</w:t>
            </w:r>
          </w:p>
        </w:tc>
        <w:tc>
          <w:tcPr>
            <w:tcW w:type="dxa" w:w="1440"/>
            <w:shd w:fill="E5F3EF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8A73"/>
                <w:sz w:val="18"/>
              </w:rPr>
              <w:t>Pass</w:t>
            </w:r>
          </w:p>
        </w:tc>
        <w:tc>
          <w:tcPr>
            <w:tcW w:type="dxa" w:w="529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Background fields moved to before-save memory assignment; no Flow self-update remains.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3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Trigger regression safety</w:t>
            </w:r>
          </w:p>
        </w:tc>
        <w:tc>
          <w:tcPr>
            <w:tcW w:type="dxa" w:w="1440"/>
            <w:shd w:fill="FCEAEA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D13232"/>
                <w:sz w:val="18"/>
              </w:rPr>
              <w:t>Fail</w:t>
            </w:r>
          </w:p>
        </w:tc>
        <w:tc>
          <w:tcPr>
            <w:tcW w:type="dxa" w:w="529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An after-update early return can bypass calculateAveragePrice().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4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Functional sequencing</w:t>
            </w:r>
          </w:p>
        </w:tc>
        <w:tc>
          <w:tcPr>
            <w:tcW w:type="dxa" w:w="1440"/>
            <w:shd w:fill="FCEAEA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D13232"/>
                <w:sz w:val="18"/>
              </w:rPr>
              <w:t>Fail</w:t>
            </w:r>
          </w:p>
        </w:tc>
        <w:tc>
          <w:tcPr>
            <w:tcW w:type="dxa" w:w="529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 Line Type is copied before price-change logic updates a field used by its formula.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5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Automated proof</w:t>
            </w:r>
          </w:p>
        </w:tc>
        <w:tc>
          <w:tcPr>
            <w:tcW w:type="dxa" w:w="1440"/>
            <w:shd w:fill="FFF4D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97816"/>
                <w:sz w:val="18"/>
              </w:rPr>
              <w:t>Partial</w:t>
            </w:r>
          </w:p>
        </w:tc>
        <w:tc>
          <w:tcPr>
            <w:tcW w:type="dxa" w:w="529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Eight tests pass, but SALDEV-1499 assertions do not verify the output fields or 200-line limits.</w:t>
            </w:r>
          </w:p>
        </w:tc>
      </w:tr>
    </w:tbl>
    <w:p>
      <w:pPr>
        <w:spacing w:after="0" w:before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2E75B6"/>
          <w:sz w:val="33"/>
        </w:rPr>
        <w:t>Incident mechanism and control path</w:t>
      </w:r>
    </w:p>
    <w:p>
      <w:pPr>
        <w:spacing w:before="0" w:after="120" w:line="259" w:lineRule="auto"/>
        <w:jc w:val="left"/>
      </w:pPr>
      <w:r>
        <w:rPr>
          <w:rFonts w:ascii="Arial" w:hAnsi="Arial" w:eastAsia="Arial"/>
          <w:b w:val="0"/>
          <w:i w:val="0"/>
          <w:color w:val="263445"/>
          <w:sz w:val="21"/>
        </w:rPr>
        <w:t>The incident was raised after an after-save record-triggered Flow updated the same Quote Line that initiated the transaction. That second DML operation re-entered Quote Line automation and the transaction exhausted the 100-query synchronous limit. Moving simple assignments to a before-save trigger is the correct architectural direction because it modifies Trigger.new without a second update.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63494"/>
            <wp:docPr id="1" name="Picture 1" descr="Four-stage SALDEV-1499 correction path from the Flow incident through trigger and sequencing fixes to release proof" title="SALDEV-1499 safe correction and promotion p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dev-1499-control-pa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6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5E6B7E"/>
          <w:sz w:val="20"/>
        </w:rPr>
        <w:t>Figure 1. SALDEV-1499 safe correction and promotion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AF2FB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E75B6"/>
                <w:sz w:val="19"/>
              </w:rPr>
              <w:t>DESIGN READING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2545"/>
                <w:sz w:val="22"/>
              </w:rPr>
              <w:t>Preserve the before-save, bulk-collected query pattern. Correct the control-flow and sequencing defects surgically, then prove field values and governor headroom. Do not reactivate the Flow as a workaround.</w:t>
            </w:r>
          </w:p>
        </w:tc>
      </w:tr>
    </w:tbl>
    <w:p>
      <w:pPr>
        <w:spacing w:after="0" w:before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2E75B6"/>
          <w:sz w:val="33"/>
        </w:rPr>
        <w:t>Current SALDEV-1499 implementation evidence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2E75B6"/>
          <w:sz w:val="26"/>
        </w:rPr>
        <w:t>Flow and Apex state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5"/>
        <w:gridCol w:w="2189"/>
        <w:gridCol w:w="1238"/>
        <w:gridCol w:w="3888"/>
      </w:tblGrid>
      <w:tr>
        <w:trPr>
          <w:tblHeader w:val="true"/>
        </w:trP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Evidence area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Observed state</w:t>
            </w:r>
          </w:p>
        </w:tc>
        <w:tc>
          <w:tcPr>
            <w:tcW w:type="dxa" w:w="123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Architect reading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Target org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FlywirePartial; sandbox; USA1148S</w:t>
            </w:r>
          </w:p>
        </w:tc>
        <w:tc>
          <w:tcPr>
            <w:tcW w:type="dxa" w:w="1238"/>
            <w:shd w:fill="E5F3EF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8A73"/>
                <w:sz w:val="18"/>
              </w:rPr>
              <w:t>Pass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Verified against Organization Id 00DhG0000000jOXUAY.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Flow definition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ActiveVersionId = null</w:t>
            </w:r>
          </w:p>
        </w:tc>
        <w:tc>
          <w:tcPr>
            <w:tcW w:type="dxa" w:w="1238"/>
            <w:shd w:fill="E5F3EF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8A73"/>
                <w:sz w:val="18"/>
              </w:rPr>
              <w:t>Pass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The Flow is genuinely deactivated.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Latest Flow version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v13; API 65; Obsolete</w:t>
            </w:r>
          </w:p>
        </w:tc>
        <w:tc>
          <w:tcPr>
            <w:tcW w:type="dxa" w:w="1238"/>
            <w:shd w:fill="E5F3EF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8A73"/>
                <w:sz w:val="18"/>
              </w:rPr>
              <w:t>Pass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No active version remains.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QuoteLineTrigger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Active; API 67</w:t>
            </w:r>
          </w:p>
        </w:tc>
        <w:tc>
          <w:tcPr>
            <w:tcW w:type="dxa" w:w="1238"/>
            <w:shd w:fill="FFF4D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97816"/>
                <w:sz w:val="18"/>
              </w:rPr>
              <w:t>Partial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Before-save replacement exists, but after-update control flow can exit early.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Trigger handler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Active; API 67</w:t>
            </w:r>
          </w:p>
        </w:tc>
        <w:tc>
          <w:tcPr>
            <w:tcW w:type="dxa" w:w="1238"/>
            <w:shd w:fill="FFF4D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97816"/>
                <w:sz w:val="18"/>
              </w:rPr>
              <w:t>Partial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Bulk collection exists; background-field order and behavior require correction.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Failed Quote Line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a1zhG000000MBi7QAG not found</w:t>
            </w:r>
          </w:p>
        </w:tc>
        <w:tc>
          <w:tcPr>
            <w:tcW w:type="dxa" w:w="1238"/>
            <w:shd w:fill="FFF4D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97816"/>
                <w:sz w:val="18"/>
              </w:rPr>
              <w:t>Partial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The exact incident record cannot be replayed or field-read back.</w:t>
            </w:r>
          </w:p>
        </w:tc>
      </w:tr>
    </w:tbl>
    <w:p>
      <w:pPr>
        <w:spacing w:after="0" w:before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2E75B6"/>
          <w:sz w:val="26"/>
        </w:rPr>
        <w:t>Automated test and coverage evidence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45"/>
        <w:gridCol w:w="2189"/>
        <w:gridCol w:w="1238"/>
        <w:gridCol w:w="3888"/>
      </w:tblGrid>
      <w:tr>
        <w:trPr>
          <w:tblHeader w:val="true"/>
        </w:trP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Evidence area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Observed state</w:t>
            </w:r>
          </w:p>
        </w:tc>
        <w:tc>
          <w:tcPr>
            <w:tcW w:type="dxa" w:w="123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Result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Architect reading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Latest focused run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8 test methods passed</w:t>
            </w:r>
          </w:p>
        </w:tc>
        <w:tc>
          <w:tcPr>
            <w:tcW w:type="dxa" w:w="1238"/>
            <w:shd w:fill="E5F3EF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8A73"/>
                <w:sz w:val="18"/>
              </w:rPr>
              <w:t>Pass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Latest results recorded 27 Aug 2026 around 21:15 UTC.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Trigger coverage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23 covered / 10 uncovered</w:t>
            </w:r>
          </w:p>
        </w:tc>
        <w:tc>
          <w:tcPr>
            <w:tcW w:type="dxa" w:w="1238"/>
            <w:shd w:fill="FFF4D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97816"/>
                <w:sz w:val="18"/>
              </w:rPr>
              <w:t>Partial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69.7% aggregate coverage; uncovered branches include control paths.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Handler coverage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245 covered / 24 uncovered</w:t>
            </w:r>
          </w:p>
        </w:tc>
        <w:tc>
          <w:tcPr>
            <w:tcW w:type="dxa" w:w="1238"/>
            <w:shd w:fill="E5F3EF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68A73"/>
                <w:sz w:val="18"/>
              </w:rPr>
              <w:t>Pass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91.1% aggregate coverage, but percentage does not prove behavior.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SALDEV-1499 assertions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Record existence / non-empty lists</w:t>
            </w:r>
          </w:p>
        </w:tc>
        <w:tc>
          <w:tcPr>
            <w:tcW w:type="dxa" w:w="1238"/>
            <w:shd w:fill="FCEAEA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D13232"/>
                <w:sz w:val="18"/>
              </w:rPr>
              <w:t>Fail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Expected background, mismatch, fallback, and price-change values are not asserted.</w:t>
            </w:r>
          </w:p>
        </w:tc>
      </w:tr>
      <w:tr>
        <w:tc>
          <w:tcPr>
            <w:tcW w:type="dxa" w:w="204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Bulk governor proof</w:t>
            </w:r>
          </w:p>
        </w:tc>
        <w:tc>
          <w:tcPr>
            <w:tcW w:type="dxa" w:w="218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No 200-line limits test</w:t>
            </w:r>
          </w:p>
        </w:tc>
        <w:tc>
          <w:tcPr>
            <w:tcW w:type="dxa" w:w="1238"/>
            <w:shd w:fill="FCEAEA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D13232"/>
                <w:sz w:val="18"/>
              </w:rPr>
              <w:t>Fail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The original SOQL-101 acceptance concern is not directly proven.</w:t>
            </w:r>
          </w:p>
        </w:tc>
      </w:tr>
    </w:tbl>
    <w:p>
      <w:pPr>
        <w:spacing w:after="0" w:before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4D9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97816"/>
                <w:sz w:val="19"/>
              </w:rPr>
              <w:t>EVIDENCE BOUNDARY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2545"/>
                <w:sz w:val="22"/>
              </w:rPr>
              <w:t>The linked design document is not accessible to the connected Google account. Requirement alignment for fallback and adjusted-rate behavior therefore remains conditional until the team shares the document or records the decisions in Jira.</w:t>
            </w:r>
          </w:p>
        </w:tc>
      </w:tr>
    </w:tbl>
    <w:p>
      <w:pPr>
        <w:spacing w:after="0" w:before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2E75B6"/>
          <w:sz w:val="33"/>
        </w:rPr>
        <w:t>Detailed code-review findings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81"/>
        <w:gridCol w:w="1872"/>
        <w:gridCol w:w="2952"/>
        <w:gridCol w:w="3355"/>
      </w:tblGrid>
      <w:tr>
        <w:trPr>
          <w:tblHeader w:val="true"/>
        </w:trPr>
        <w:tc>
          <w:tcPr>
            <w:tcW w:type="dxa" w:w="118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Priority</w:t>
            </w:r>
          </w:p>
        </w:tc>
        <w:tc>
          <w:tcPr>
            <w:tcW w:type="dxa" w:w="18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Finding</w:t>
            </w:r>
          </w:p>
        </w:tc>
        <w:tc>
          <w:tcPr>
            <w:tcW w:type="dxa" w:w="295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Why it matters</w:t>
            </w:r>
          </w:p>
        </w:tc>
        <w:tc>
          <w:tcPr>
            <w:tcW w:type="dxa" w:w="335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Required correction</w:t>
            </w:r>
          </w:p>
        </w:tc>
      </w:tr>
      <w:tr>
        <w:tc>
          <w:tcPr>
            <w:tcW w:type="dxa" w:w="118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P1</w:t>
            </w:r>
          </w:p>
        </w:tc>
        <w:tc>
          <w:tcPr>
            <w:tcW w:type="dxa" w:w="18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After-update early return</w:t>
            </w:r>
          </w:p>
        </w:tc>
        <w:tc>
          <w:tcPr>
            <w:tcW w:type="dxa" w:w="295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When OLI synchronization is unnecessary, the trigger returns before calculateAveragePrice(). Ordinary updates can stop recalculating existing rollups.</w:t>
            </w:r>
          </w:p>
        </w:tc>
        <w:tc>
          <w:tcPr>
            <w:tcW w:type="dxa" w:w="335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Replace the trigger-level return with a guarded OLI-sync block so later after-save logic always reaches its own recursion guard.</w:t>
            </w:r>
          </w:p>
        </w:tc>
      </w:tr>
      <w:tr>
        <w:tc>
          <w:tcPr>
            <w:tcW w:type="dxa" w:w="118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P1</w:t>
            </w:r>
          </w:p>
        </w:tc>
        <w:tc>
          <w:tcPr>
            <w:tcW w:type="dxa" w:w="18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Formula copy occurs too early</w:t>
            </w:r>
          </w:p>
        </w:tc>
        <w:tc>
          <w:tcPr>
            <w:tcW w:type="dxa" w:w="295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processBackgroundFields() copies Quote_Line_Type__c before handlePriceChangeOnAmendmentClones() updates Price_Change__c. The live formula depends on Price_Change__c and Group_Allow_Product_Ramping__c.</w:t>
            </w:r>
          </w:p>
        </w:tc>
        <w:tc>
          <w:tcPr>
            <w:tcW w:type="dxa" w:w="335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Compute price-change inputs first, then derive/copy Quote Line Type from final values, or calculate the classification explicitly in one method.</w:t>
            </w:r>
          </w:p>
        </w:tc>
      </w:tr>
      <w:tr>
        <w:tc>
          <w:tcPr>
            <w:tcW w:type="dxa" w:w="118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P1</w:t>
            </w:r>
          </w:p>
        </w:tc>
        <w:tc>
          <w:tcPr>
            <w:tcW w:type="dxa" w:w="18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Tests do not assert outcomes</w:t>
            </w:r>
          </w:p>
        </w:tc>
        <w:tc>
          <w:tcPr>
            <w:tcW w:type="dxa" w:w="295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Passing tests can still leave Quote_Line_Type_background__c, Rate_Details_Changed__c, or Default_Rate_Details__c wrong.</w:t>
            </w:r>
          </w:p>
        </w:tc>
        <w:tc>
          <w:tcPr>
            <w:tcW w:type="dxa" w:w="335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Re-query records and assert exact true/false/text values for insert, update, ramp, renewal, amendment, cancellation, and blank cases.</w:t>
            </w:r>
          </w:p>
        </w:tc>
      </w:tr>
      <w:tr>
        <w:tc>
          <w:tcPr>
            <w:tcW w:type="dxa" w:w="118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P2</w:t>
            </w:r>
          </w:p>
        </w:tc>
        <w:tc>
          <w:tcPr>
            <w:tcW w:type="dxa" w:w="18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Behavior exceeds the legacy Flow</w:t>
            </w:r>
          </w:p>
        </w:tc>
        <w:tc>
          <w:tcPr>
            <w:tcW w:type="dxa" w:w="295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Apex adds default-rate fallback and adjusted-rate override comparisons beyond the Flow's direct Rate_Details versus Default_Rate_Details check.</w:t>
            </w:r>
          </w:p>
        </w:tc>
        <w:tc>
          <w:tcPr>
            <w:tcW w:type="dxa" w:w="335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Confirm these rules in the design/Jira acceptance criteria and test each branch; otherwise narrow the implementation.</w:t>
            </w:r>
          </w:p>
        </w:tc>
      </w:tr>
      <w:tr>
        <w:tc>
          <w:tcPr>
            <w:tcW w:type="dxa" w:w="118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P2</w:t>
            </w:r>
          </w:p>
        </w:tc>
        <w:tc>
          <w:tcPr>
            <w:tcW w:type="dxa" w:w="18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Local source is stale</w:t>
            </w:r>
          </w:p>
        </w:tc>
        <w:tc>
          <w:tcPr>
            <w:tcW w:type="dxa" w:w="295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The checkout still shows Flow v13 Active and an older after-only trigger. It does not match the live sandbox implementation.</w:t>
            </w:r>
          </w:p>
        </w:tc>
        <w:tc>
          <w:tcPr>
            <w:tcW w:type="dxa" w:w="335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Retrieve the exact live components into a focused review package before producing the promotion artifact or diff.</w:t>
            </w:r>
          </w:p>
        </w:tc>
      </w:tr>
    </w:tbl>
    <w:p>
      <w:pPr>
        <w:spacing w:after="0" w:before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CEAEA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D13232"/>
                <w:sz w:val="19"/>
              </w:rPr>
              <w:t>PROMOTION BLOCKER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2545"/>
                <w:sz w:val="22"/>
              </w:rPr>
              <w:t>Do not approve promotion until the trigger return and formula-ordering defects are corrected, explicit field-value assertions pass, and a bulk transaction demonstrates that the replacement stays below governor limits.</w:t>
            </w:r>
          </w:p>
        </w:tc>
      </w:tr>
    </w:tbl>
    <w:p>
      <w:pPr>
        <w:spacing w:after="0" w:before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2E75B6"/>
          <w:sz w:val="33"/>
        </w:rPr>
        <w:t>Functional equivalence and implementation boundary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2E75B6"/>
          <w:sz w:val="26"/>
        </w:rPr>
        <w:t>Legacy-to-Apex behavior that must remain equivalent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19"/>
        <w:gridCol w:w="3139"/>
        <w:gridCol w:w="3802"/>
      </w:tblGrid>
      <w:tr>
        <w:trPr>
          <w:tblHeader w:val="true"/>
        </w:trPr>
        <w:tc>
          <w:tcPr>
            <w:tcW w:type="dxa" w:w="241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Behavior</w:t>
            </w:r>
          </w:p>
        </w:tc>
        <w:tc>
          <w:tcPr>
            <w:tcW w:type="dxa" w:w="313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Legacy Flow</w:t>
            </w:r>
          </w:p>
        </w:tc>
        <w:tc>
          <w:tcPr>
            <w:tcW w:type="dxa" w:w="380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Replacement expectation</w:t>
            </w:r>
          </w:p>
        </w:tc>
      </w:tr>
      <w:tr>
        <w:tc>
          <w:tcPr>
            <w:tcW w:type="dxa" w:w="241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 Line Type background</w:t>
            </w:r>
          </w:p>
        </w:tc>
        <w:tc>
          <w:tcPr>
            <w:tcW w:type="dxa" w:w="313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Copy formula value after save when blank or different</w:t>
            </w:r>
          </w:p>
        </w:tc>
        <w:tc>
          <w:tcPr>
            <w:tcW w:type="dxa" w:w="380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Persist the classification calculated from the transaction's final price-change/ramping state.</w:t>
            </w:r>
          </w:p>
        </w:tc>
      </w:tr>
      <w:tr>
        <w:tc>
          <w:tcPr>
            <w:tcW w:type="dxa" w:w="241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Rate mismatch</w:t>
            </w:r>
          </w:p>
        </w:tc>
        <w:tc>
          <w:tcPr>
            <w:tcW w:type="dxa" w:w="313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Rate_Details__c != Default_Rate_Details__c</w:t>
            </w:r>
          </w:p>
        </w:tc>
        <w:tc>
          <w:tcPr>
            <w:tcW w:type="dxa" w:w="380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Match approved null/blank semantics and document any fallback/override expansion.</w:t>
            </w:r>
          </w:p>
        </w:tc>
      </w:tr>
      <w:tr>
        <w:tc>
          <w:tcPr>
            <w:tcW w:type="dxa" w:w="241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Record update</w:t>
            </w:r>
          </w:p>
        </w:tc>
        <w:tc>
          <w:tcPr>
            <w:tcW w:type="dxa" w:w="313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Explicit DML on the initiating record</w:t>
            </w:r>
          </w:p>
        </w:tc>
        <w:tc>
          <w:tcPr>
            <w:tcW w:type="dxa" w:w="380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Before-save memory assignment only; no self-DML.</w:t>
            </w:r>
          </w:p>
        </w:tc>
      </w:tr>
      <w:tr>
        <w:tc>
          <w:tcPr>
            <w:tcW w:type="dxa" w:w="241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Existing rollups</w:t>
            </w:r>
          </w:p>
        </w:tc>
        <w:tc>
          <w:tcPr>
            <w:tcW w:type="dxa" w:w="3139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Separate trigger behavior</w:t>
            </w:r>
          </w:p>
        </w:tc>
        <w:tc>
          <w:tcPr>
            <w:tcW w:type="dxa" w:w="380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Continue calculateAveragePrice() on all intended insert/update/delete/undelete paths.</w:t>
            </w:r>
          </w:p>
        </w:tc>
      </w:tr>
    </w:tbl>
    <w:p>
      <w:pPr>
        <w:spacing w:after="0" w:before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2E75B6"/>
          <w:sz w:val="26"/>
        </w:rPr>
        <w:t>Focused correction scope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7"/>
        <w:gridCol w:w="3485"/>
        <w:gridCol w:w="3888"/>
      </w:tblGrid>
      <w:tr>
        <w:trPr>
          <w:tblHeader w:val="true"/>
        </w:trPr>
        <w:tc>
          <w:tcPr>
            <w:tcW w:type="dxa" w:w="1987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Component type</w:t>
            </w:r>
          </w:p>
        </w:tc>
        <w:tc>
          <w:tcPr>
            <w:tcW w:type="dxa" w:w="34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Focused scope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Required action</w:t>
            </w:r>
          </w:p>
        </w:tc>
      </w:tr>
      <w:tr>
        <w:tc>
          <w:tcPr>
            <w:tcW w:type="dxa" w:w="1987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 Line trigger</w:t>
            </w:r>
          </w:p>
        </w:tc>
        <w:tc>
          <w:tcPr>
            <w:tcW w:type="dxa" w:w="34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Before-save call order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Run price-change classification before the background copy, or combine both deterministically.</w:t>
            </w:r>
          </w:p>
        </w:tc>
      </w:tr>
      <w:tr>
        <w:tc>
          <w:tcPr>
            <w:tcW w:type="dxa" w:w="1987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 Line trigger</w:t>
            </w:r>
          </w:p>
        </w:tc>
        <w:tc>
          <w:tcPr>
            <w:tcW w:type="dxa" w:w="34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After-update OLI-sync branch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Remove the trigger-level early return and preserve subsequent rollup execution.</w:t>
            </w:r>
          </w:p>
        </w:tc>
      </w:tr>
      <w:tr>
        <w:tc>
          <w:tcPr>
            <w:tcW w:type="dxa" w:w="1987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Trigger handler</w:t>
            </w:r>
          </w:p>
        </w:tc>
        <w:tc>
          <w:tcPr>
            <w:tcW w:type="dxa" w:w="34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processBackgroundFields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Define null/blank, fallback, adjusted-rate, and formula-copy behavior explicitly.</w:t>
            </w:r>
          </w:p>
        </w:tc>
      </w:tr>
      <w:tr>
        <w:tc>
          <w:tcPr>
            <w:tcW w:type="dxa" w:w="1987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Apex tests</w:t>
            </w:r>
          </w:p>
        </w:tc>
        <w:tc>
          <w:tcPr>
            <w:tcW w:type="dxa" w:w="34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QuoteLineTriggerHandleTest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Assert exact outputs and prior rollup behavior; avoid pass-by-record-existence assertions.</w:t>
            </w:r>
          </w:p>
        </w:tc>
      </w:tr>
      <w:tr>
        <w:tc>
          <w:tcPr>
            <w:tcW w:type="dxa" w:w="1987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Bulk proof</w:t>
            </w:r>
          </w:p>
        </w:tc>
        <w:tc>
          <w:tcPr>
            <w:tcW w:type="dxa" w:w="34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200 mixed Quote Lines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Capture query/DML counts and verify all classifications, mismatch flags, and rollups.</w:t>
            </w:r>
          </w:p>
        </w:tc>
      </w:tr>
      <w:tr>
        <w:tc>
          <w:tcPr>
            <w:tcW w:type="dxa" w:w="1987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Focused package</w:t>
            </w:r>
          </w:p>
        </w:tc>
        <w:tc>
          <w:tcPr>
            <w:tcW w:type="dxa" w:w="34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Trigger, handler, test, inactive Flow state</w:t>
            </w:r>
          </w:p>
        </w:tc>
        <w:tc>
          <w:tcPr>
            <w:tcW w:type="dxa" w:w="38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Retrieve current live metadata and validate only the reviewed components plus required dependencies.</w:t>
            </w:r>
          </w:p>
        </w:tc>
      </w:tr>
    </w:tbl>
    <w:p>
      <w:pPr>
        <w:spacing w:after="0" w:before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2E75B6"/>
          <w:sz w:val="33"/>
        </w:rPr>
        <w:t>Release sequence and production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72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Required evidence</w:t>
            </w:r>
          </w:p>
        </w:tc>
      </w:tr>
      <w:tr>
        <w:tc>
          <w:tcPr>
            <w:tcW w:type="dxa" w:w="20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Requirement confirmation</w:t>
            </w:r>
          </w:p>
        </w:tc>
        <w:tc>
          <w:tcPr>
            <w:tcW w:type="dxa" w:w="72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Share the design document or copy its approved decisions into Jira: formula timing, blank handling, fallback source, adjusted-rate rules, and stepped-up behavior.</w:t>
            </w:r>
          </w:p>
        </w:tc>
      </w:tr>
      <w:tr>
        <w:tc>
          <w:tcPr>
            <w:tcW w:type="dxa" w:w="20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Focused correction</w:t>
            </w:r>
          </w:p>
        </w:tc>
        <w:tc>
          <w:tcPr>
            <w:tcW w:type="dxa" w:w="72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Surgically correct trigger order/control flow and tests; keep the Flow deactivated and preserve unrelated CPQ automation.</w:t>
            </w:r>
          </w:p>
        </w:tc>
      </w:tr>
      <w:tr>
        <w:tc>
          <w:tcPr>
            <w:tcW w:type="dxa" w:w="20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Sandbox validation</w:t>
            </w:r>
          </w:p>
        </w:tc>
        <w:tc>
          <w:tcPr>
            <w:tcW w:type="dxa" w:w="72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Run the focused Apex class plus relevant Quote Line regression tests; record test-run ID, coverage, query/DML headroom, and field-level results.</w:t>
            </w:r>
          </w:p>
        </w:tc>
      </w:tr>
      <w:tr>
        <w:tc>
          <w:tcPr>
            <w:tcW w:type="dxa" w:w="20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Business UAT</w:t>
            </w:r>
          </w:p>
        </w:tc>
        <w:tc>
          <w:tcPr>
            <w:tcW w:type="dxa" w:w="72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Create stepped and non-stepped quotes; save/recalculate; confirm no SOQL-101 error and verify Quote Line Type, mismatch flags, and existing averages.</w:t>
            </w:r>
          </w:p>
        </w:tc>
      </w:tr>
      <w:tr>
        <w:tc>
          <w:tcPr>
            <w:tcW w:type="dxa" w:w="208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Promotion/read-back</w:t>
            </w:r>
          </w:p>
        </w:tc>
        <w:tc>
          <w:tcPr>
            <w:tcW w:type="dxa" w:w="727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After approval only: validate the production-target package, deploy, verify Flow ActiveVersionId remains null, read back Apex versions, and repeat smoke tests.</w:t>
            </w:r>
          </w:p>
        </w:tc>
      </w:tr>
    </w:tbl>
    <w:p>
      <w:pPr>
        <w:spacing w:after="0" w:before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2E75B6"/>
          <w:sz w:val="26"/>
        </w:rPr>
        <w:t>Validation evidence to capture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691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Required detail</w:t>
            </w:r>
          </w:p>
        </w:tc>
      </w:tr>
      <w:tr>
        <w:tc>
          <w:tcPr>
            <w:tcW w:type="dxa" w:w="244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Automated test receipt</w:t>
            </w:r>
          </w:p>
        </w:tc>
        <w:tc>
          <w:tcPr>
            <w:tcW w:type="dxa" w:w="691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Test-run ID, named methods, pass/fail totals, runtime, and exact trigger/handler coverage.</w:t>
            </w:r>
          </w:p>
        </w:tc>
      </w:tr>
      <w:tr>
        <w:tc>
          <w:tcPr>
            <w:tcW w:type="dxa" w:w="244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Governor headroom</w:t>
            </w:r>
          </w:p>
        </w:tc>
        <w:tc>
          <w:tcPr>
            <w:tcW w:type="dxa" w:w="691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Queries and DML statements before/after the 200-line transaction, with no SOQL-101 exception.</w:t>
            </w:r>
          </w:p>
        </w:tc>
      </w:tr>
      <w:tr>
        <w:tc>
          <w:tcPr>
            <w:tcW w:type="dxa" w:w="244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Record-level read-back</w:t>
            </w:r>
          </w:p>
        </w:tc>
        <w:tc>
          <w:tcPr>
            <w:tcW w:type="dxa" w:w="691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 and Quote Line IDs plus expected/actual background type, mismatch flag, default rate details, and average fields.</w:t>
            </w:r>
          </w:p>
        </w:tc>
      </w:tr>
      <w:tr>
        <w:tc>
          <w:tcPr>
            <w:tcW w:type="dxa" w:w="244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Metadata state</w:t>
            </w:r>
          </w:p>
        </w:tc>
        <w:tc>
          <w:tcPr>
            <w:tcW w:type="dxa" w:w="691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FlowDefinition.ActiveVersionId, latest Flow status, Apex API/status/modified date, and reviewed package component count.</w:t>
            </w:r>
          </w:p>
        </w:tc>
      </w:tr>
    </w:tbl>
    <w:p>
      <w:pPr>
        <w:spacing w:after="0" w:before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4D9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97816"/>
                <w:sz w:val="19"/>
              </w:rPr>
              <w:t>PRODUCTION GATE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2545"/>
                <w:sz w:val="22"/>
              </w:rPr>
              <w:t>This review covered FlywirePartial only. Production was not inventoried or changed. Re-retrieve current Production metadata and run focused check-only validation before any deployment decision.</w:t>
            </w:r>
          </w:p>
        </w:tc>
      </w:tr>
    </w:tbl>
    <w:p>
      <w:pPr>
        <w:spacing w:after="0" w:before="20"/>
      </w:pP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2E75B6"/>
          <w:sz w:val="33"/>
        </w:rPr>
        <w:t>UAT and approval gates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75"/>
        <w:gridCol w:w="7085"/>
      </w:tblGrid>
      <w:tr>
        <w:trPr>
          <w:tblHeader w:val="true"/>
        </w:trP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Test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Pass evidence</w:t>
            </w:r>
          </w:p>
        </w:tc>
      </w:tr>
      <w:t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Ordinary Quote Line update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An update with no OLI-sync requirement still runs calculateAveragePrice() and preserves expected average placement.</w:t>
            </w:r>
          </w:p>
        </w:tc>
      </w:tr>
      <w:t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Stepped-up renewal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 ramp-enabled renewal saves without error and background type equals the final Quote_Line_Type__c classification.</w:t>
            </w:r>
          </w:p>
        </w:tc>
      </w:tr>
      <w:t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Amendment and cancellation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Price Change, Cancellation, and Cancellation Price Change outcomes match final quantity and price-change inputs.</w:t>
            </w:r>
          </w:p>
        </w:tc>
      </w:tr>
      <w:t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Rate details equal/different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Equal values set Rate_Details_Changed__c false; approved mismatch/fallback/override cases set it true.</w:t>
            </w:r>
          </w:p>
        </w:tc>
      </w:tr>
      <w:t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Blank and null handling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Blank formula/default/source/subscription cases produce documented values without stale background data or exceptions.</w:t>
            </w:r>
          </w:p>
        </w:tc>
      </w:tr>
      <w:t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Bulk and limits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200 mixed Quote Lines complete in one transaction with correct fields, rollups, query headroom, and no SOQL-101 error.</w:t>
            </w:r>
          </w:p>
        </w:tc>
      </w:tr>
      <w:tr>
        <w:tc>
          <w:tcPr>
            <w:tcW w:type="dxa" w:w="227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Non-stepped regression</w:t>
            </w:r>
          </w:p>
        </w:tc>
        <w:tc>
          <w:tcPr>
            <w:tcW w:type="dxa" w:w="7085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Existing ordinary quoting and average-price behavior match the approved sandbox baseline.</w:t>
            </w:r>
          </w:p>
        </w:tc>
      </w:tr>
    </w:tbl>
    <w:p>
      <w:pPr>
        <w:spacing w:after="0" w:before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2E75B6"/>
          <w:sz w:val="26"/>
        </w:rPr>
        <w:t>Required approval gates</w:t>
      </w:r>
    </w:p>
    <w:tbl>
      <w:tblPr>
        <w:tblW w:type="dxa" w:w="9361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0"/>
        <w:gridCol w:w="2362"/>
        <w:gridCol w:w="2131"/>
        <w:gridCol w:w="4378"/>
      </w:tblGrid>
      <w:tr>
        <w:trPr>
          <w:tblHeader w:val="true"/>
        </w:trP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#</w:t>
            </w:r>
          </w:p>
        </w:tc>
        <w:tc>
          <w:tcPr>
            <w:tcW w:type="dxa" w:w="236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Required action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437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  <w:shd w:fill="F1F3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1</w:t>
            </w:r>
          </w:p>
        </w:tc>
        <w:tc>
          <w:tcPr>
            <w:tcW w:type="dxa" w:w="236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Confirm expanded rate-detail rules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Product Owner / Architect</w:t>
            </w:r>
          </w:p>
        </w:tc>
        <w:tc>
          <w:tcPr>
            <w:tcW w:type="dxa" w:w="437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Accessible design decision or Jira acceptance detail.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2</w:t>
            </w:r>
          </w:p>
        </w:tc>
        <w:tc>
          <w:tcPr>
            <w:tcW w:type="dxa" w:w="236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Correct trigger control flow/order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Development Lead</w:t>
            </w:r>
          </w:p>
        </w:tc>
        <w:tc>
          <w:tcPr>
            <w:tcW w:type="dxa" w:w="437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Reviewed focused diff with no unrelated rewrite.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3</w:t>
            </w:r>
          </w:p>
        </w:tc>
        <w:tc>
          <w:tcPr>
            <w:tcW w:type="dxa" w:w="236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Strengthen automated tests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Developer / QA</w:t>
            </w:r>
          </w:p>
        </w:tc>
        <w:tc>
          <w:tcPr>
            <w:tcW w:type="dxa" w:w="437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Exact field assertions, regression results, and 200-line limits evidence.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4</w:t>
            </w:r>
          </w:p>
        </w:tc>
        <w:tc>
          <w:tcPr>
            <w:tcW w:type="dxa" w:w="236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Complete business UAT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CPQ Business Owner</w:t>
            </w:r>
          </w:p>
        </w:tc>
        <w:tc>
          <w:tcPr>
            <w:tcW w:type="dxa" w:w="437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Quote IDs, scenarios, expected/actual values, and no-error confirmation.</w:t>
            </w:r>
          </w:p>
        </w:tc>
      </w:tr>
      <w:tr>
        <w:tc>
          <w:tcPr>
            <w:tcW w:type="dxa" w:w="490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5</w:t>
            </w:r>
          </w:p>
        </w:tc>
        <w:tc>
          <w:tcPr>
            <w:tcW w:type="dxa" w:w="2362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Approve promotion</w:t>
            </w:r>
          </w:p>
        </w:tc>
        <w:tc>
          <w:tcPr>
            <w:tcW w:type="dxa" w:w="2131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Architect / Release Manager</w:t>
            </w:r>
          </w:p>
        </w:tc>
        <w:tc>
          <w:tcPr>
            <w:tcW w:type="dxa" w:w="4378"/>
            <w:tcMar>
              <w:top w:w="72" w:type="dxa"/>
              <w:start w:w="120" w:type="dxa"/>
              <w:bottom w:w="72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445"/>
                <w:sz w:val="18"/>
              </w:rPr>
              <w:t>Check-only job ID, component/test counts, exclusions, and sign-offs.</w:t>
            </w:r>
          </w:p>
        </w:tc>
      </w:tr>
    </w:tbl>
    <w:p>
      <w:pPr>
        <w:spacing w:after="0" w:before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2E75B6"/>
          <w:sz w:val="26"/>
        </w:rPr>
        <w:t>Ready-to-paste architect 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EAF2FB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E75B6"/>
                <w:sz w:val="19"/>
              </w:rPr>
              <w:t>STORY COMMENT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2545"/>
                <w:sz w:val="18"/>
              </w:rPr>
              <w:t>Architect review completed for SALDEV-1499 in FlywirePartial. Changes Requested. The Quote Line Type background Flow is correctly deactivated (ActiveVersionId is null; v13 is Obsolete), and the before-save Apex direction removes the Flow's self-update. However, the deployed after-update trigger can return before calculateAveragePrice(), and processBackgroundFields() copies the formula-backed Quote Line Type before price-change logic updates fields used by that formula. Eight focused tests pass, but the SALDEV-1499 tests do not assert the resulting background/rate-detail fields and there is no 200-line governor-limit proof. Correct the trigger control flow and sequencing, add exact field-value and bulk tests, share the detailed design decision, and complete stepped/non-stepped UAT before promotion. No code, metadata, activation, deployment, data, or Production changes were made during this review.</w:t>
            </w:r>
          </w:p>
        </w:tc>
      </w:tr>
    </w:tbl>
    <w:p>
      <w:pPr>
        <w:spacing w:after="0" w:before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9" w:lineRule="auto"/>
    </w:pPr>
    <w:rPr>
      <w:rFonts w:ascii="Arial" w:hAnsi="Arial"/>
      <w:color w:val="2634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E75B6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SALDEV-1499 Architect Review</dc:title>
  <dc:subject>Quote Line Type background field update Flow deactivation and Apex replacement review</dc:subject>
  <dc:creator>Flywire Salesforce Architecture Review</dc:creator>
  <cp:keywords>SALDEV-1499, Salesforce, CPQ, Flow, Apex, Quote Line</cp:keywords>
  <dc:description>Architect review packet derived from the SCC-4179 reference design.</dc:description>
  <cp:lastModifiedBy/>
  <cp:revision>1</cp:revision>
  <dcterms:created xsi:type="dcterms:W3CDTF">2013-12-23T23:15:00Z</dcterms:created>
  <dcterms:modified xsi:type="dcterms:W3CDTF">2026-08-25T23:32:47Z</dcterms:modified>
  <cp:category/>
</cp:coreProperties>
</file>