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pPr>
      <w:r>
        <w:rPr>
          <w:rFonts w:ascii="Arial" w:hAnsi="Arial"/>
          <w:b/>
          <w:i w:val="0"/>
          <w:color w:val="2E74B5"/>
          <w:sz w:val="20"/>
        </w:rPr>
        <w:t>ARCHITECT REVIEW</w:t>
      </w:r>
    </w:p>
    <w:p>
      <w:pPr>
        <w:spacing w:after="80"/>
      </w:pPr>
      <w:r>
        <w:rPr>
          <w:rFonts w:ascii="Arial" w:hAnsi="Arial"/>
          <w:b/>
          <w:i w:val="0"/>
          <w:color w:val="0B2545"/>
          <w:sz w:val="50"/>
        </w:rPr>
        <w:t xml:space="preserve">SALDEV-1440 | Distinguish Stepped-Up and Standard Quote Groups</w:t>
      </w:r>
    </w:p>
    <w:p>
      <w:pPr>
        <w:spacing w:after="280"/>
      </w:pPr>
      <w:r>
        <w:rPr>
          <w:rFonts w:ascii="Arial" w:hAnsi="Arial"/>
          <w:b w:val="0"/>
          <w:i w:val="0"/>
          <w:color w:val="5B6777"/>
          <w:sz w:val="26"/>
        </w:rPr>
        <w:t xml:space="preserve">Flywire Partial | Architect verification and check-only readiness assessment</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tcMar>
              <w:top w:w="100" w:type="dxa"/>
              <w:start w:w="140" w:type="dxa"/>
              <w:bottom w:w="100" w:type="dxa"/>
              <w:end w:w="140" w:type="dxa"/>
            </w:tcMar>
            <w:vAlign w:val="center"/>
            <w:shd w:fill="EAF2FA"/>
          </w:tcPr>
          <w:p>
            <w:pPr>
              <w:spacing w:before="0" w:after="0" w:line="252" w:lineRule="auto"/>
              <w:jc w:val="left"/>
            </w:pPr>
            <w:r/>
            <w:r>
              <w:rPr>
                <w:rFonts w:ascii="Arial" w:hAnsi="Arial"/>
                <w:b/>
                <w:i w:val="0"/>
                <w:color w:val="0B2545"/>
                <w:sz w:val="18"/>
              </w:rPr>
              <w:t>Source</w:t>
            </w:r>
          </w:p>
        </w:tc>
        <w:tc>
          <w:tcPr>
            <w:tcW w:type="dxa" w:w="7460"/>
            <w:tcMar>
              <w:top w:w="100" w:type="dxa"/>
              <w:start w:w="140" w:type="dxa"/>
              <w:bottom w:w="100" w:type="dxa"/>
              <w:end w:w="140" w:type="dxa"/>
            </w:tcMar>
            <w:vAlign w:val="center"/>
          </w:tcPr>
          <w:p>
            <w:pPr>
              <w:spacing w:before="0" w:after="0" w:line="252" w:lineRule="auto"/>
              <w:jc w:val="left"/>
            </w:pPr>
            <w:r/>
            <w:r>
              <w:rPr>
                <w:rFonts w:ascii="Arial" w:hAnsi="Arial"/>
                <w:b w:val="0"/>
                <w:i w:val="0"/>
                <w:color w:val="1F2937"/>
                <w:sz w:val="18"/>
              </w:rPr>
              <w:t xml:space="preserve">FlywirePartial | Org 00DhG0000000jOXUAY</w:t>
            </w:r>
          </w:p>
        </w:tc>
      </w:tr>
      <w:tr>
        <w:tc>
          <w:tcPr>
            <w:tcW w:type="dxa" w:w="1900"/>
            <w:tcMar>
              <w:top w:w="100" w:type="dxa"/>
              <w:start w:w="140" w:type="dxa"/>
              <w:bottom w:w="100" w:type="dxa"/>
              <w:end w:w="140" w:type="dxa"/>
            </w:tcMar>
            <w:vAlign w:val="center"/>
            <w:shd w:fill="EAF2FA"/>
          </w:tcPr>
          <w:p>
            <w:pPr>
              <w:spacing w:before="0" w:after="0" w:line="252" w:lineRule="auto"/>
              <w:jc w:val="left"/>
            </w:pPr>
            <w:r/>
            <w:r>
              <w:rPr>
                <w:rFonts w:ascii="Arial" w:hAnsi="Arial"/>
                <w:b/>
                <w:i w:val="0"/>
                <w:color w:val="0B2545"/>
                <w:sz w:val="18"/>
              </w:rPr>
              <w:t xml:space="preserve">Local source</w:t>
            </w:r>
          </w:p>
        </w:tc>
        <w:tc>
          <w:tcPr>
            <w:tcW w:type="dxa" w:w="7460"/>
            <w:tcMar>
              <w:top w:w="100" w:type="dxa"/>
              <w:start w:w="140" w:type="dxa"/>
              <w:bottom w:w="100" w:type="dxa"/>
              <w:end w:w="140" w:type="dxa"/>
            </w:tcMar>
            <w:vAlign w:val="center"/>
          </w:tcPr>
          <w:p>
            <w:pPr>
              <w:spacing w:before="0" w:after="0" w:line="252" w:lineRule="auto"/>
              <w:jc w:val="left"/>
            </w:pPr>
            <w:r/>
            <w:r>
              <w:rPr>
                <w:rFonts w:ascii="Arial" w:hAnsi="Arial"/>
                <w:b w:val="0"/>
                <w:i w:val="0"/>
                <w:color w:val="1F2937"/>
                <w:sz w:val="18"/>
              </w:rPr>
              <w:t xml:space="preserve">DX source synchronized from FlywirePartial</w:t>
            </w:r>
          </w:p>
        </w:tc>
      </w:tr>
      <w:tr>
        <w:tc>
          <w:tcPr>
            <w:tcW w:type="dxa" w:w="1900"/>
            <w:tcMar>
              <w:top w:w="100" w:type="dxa"/>
              <w:start w:w="140" w:type="dxa"/>
              <w:bottom w:w="100" w:type="dxa"/>
              <w:end w:w="140" w:type="dxa"/>
            </w:tcMar>
            <w:vAlign w:val="center"/>
            <w:shd w:fill="EAF2FA"/>
          </w:tcPr>
          <w:p>
            <w:pPr>
              <w:spacing w:before="0" w:after="0" w:line="252" w:lineRule="auto"/>
              <w:jc w:val="left"/>
            </w:pPr>
            <w:r/>
            <w:r>
              <w:rPr>
                <w:rFonts w:ascii="Arial" w:hAnsi="Arial"/>
                <w:b/>
                <w:i w:val="0"/>
                <w:color w:val="0B2545"/>
                <w:sz w:val="18"/>
              </w:rPr>
              <w:t>Review date</w:t>
            </w:r>
          </w:p>
        </w:tc>
        <w:tc>
          <w:tcPr>
            <w:tcW w:type="dxa" w:w="7460"/>
            <w:tcMar>
              <w:top w:w="100" w:type="dxa"/>
              <w:start w:w="140" w:type="dxa"/>
              <w:bottom w:w="100" w:type="dxa"/>
              <w:end w:w="140" w:type="dxa"/>
            </w:tcMar>
            <w:vAlign w:val="center"/>
          </w:tcPr>
          <w:p>
            <w:pPr>
              <w:spacing w:before="0" w:after="0" w:line="252" w:lineRule="auto"/>
              <w:jc w:val="left"/>
            </w:pPr>
            <w:r/>
            <w:r>
              <w:rPr>
                <w:rFonts w:ascii="Arial" w:hAnsi="Arial"/>
                <w:b w:val="0"/>
                <w:i w:val="0"/>
                <w:color w:val="1F2937"/>
                <w:sz w:val="18"/>
              </w:rPr>
              <w:t>26 August 2026</w:t>
            </w:r>
          </w:p>
        </w:tc>
      </w:tr>
      <w:tr>
        <w:tc>
          <w:tcPr>
            <w:tcW w:type="dxa" w:w="1900"/>
            <w:tcMar>
              <w:top w:w="100" w:type="dxa"/>
              <w:start w:w="140" w:type="dxa"/>
              <w:bottom w:w="100" w:type="dxa"/>
              <w:end w:w="140" w:type="dxa"/>
            </w:tcMar>
            <w:vAlign w:val="center"/>
            <w:shd w:fill="EAF2FA"/>
          </w:tcPr>
          <w:p>
            <w:pPr>
              <w:spacing w:before="0" w:after="0" w:line="252" w:lineRule="auto"/>
              <w:jc w:val="left"/>
            </w:pPr>
            <w:r/>
            <w:r>
              <w:rPr>
                <w:rFonts w:ascii="Arial" w:hAnsi="Arial"/>
                <w:b/>
                <w:i w:val="0"/>
                <w:color w:val="0B2545"/>
                <w:sz w:val="18"/>
              </w:rPr>
              <w:t>Check-only</w:t>
            </w:r>
          </w:p>
        </w:tc>
        <w:tc>
          <w:tcPr>
            <w:tcW w:type="dxa" w:w="7460"/>
            <w:tcMar>
              <w:top w:w="100" w:type="dxa"/>
              <w:start w:w="140" w:type="dxa"/>
              <w:bottom w:w="100" w:type="dxa"/>
              <w:end w:w="140" w:type="dxa"/>
            </w:tcMar>
            <w:vAlign w:val="center"/>
          </w:tcPr>
          <w:p>
            <w:pPr>
              <w:spacing w:before="0" w:after="0" w:line="252" w:lineRule="auto"/>
              <w:jc w:val="left"/>
            </w:pPr>
            <w:r/>
            <w:r>
              <w:rPr>
                <w:rFonts w:ascii="Arial" w:hAnsi="Arial"/>
                <w:b w:val="0"/>
                <w:i w:val="0"/>
                <w:color w:val="1F2937"/>
                <w:sz w:val="18"/>
              </w:rPr>
              <w:t xml:space="preserve">Succeeded | Job 0AfhG000001XgKrSAK | 1/1 validated</w:t>
            </w:r>
          </w:p>
        </w:tc>
      </w:tr>
      <w:tr>
        <w:tc>
          <w:tcPr>
            <w:tcW w:type="dxa" w:w="1900"/>
            <w:tcMar>
              <w:top w:w="100" w:type="dxa"/>
              <w:start w:w="140" w:type="dxa"/>
              <w:bottom w:w="100" w:type="dxa"/>
              <w:end w:w="140" w:type="dxa"/>
            </w:tcMar>
            <w:vAlign w:val="center"/>
            <w:shd w:fill="EAF2FA"/>
          </w:tcPr>
          <w:p>
            <w:pPr>
              <w:spacing w:before="0" w:after="0" w:line="252" w:lineRule="auto"/>
              <w:jc w:val="left"/>
            </w:pPr>
            <w:r/>
            <w:r>
              <w:rPr>
                <w:rFonts w:ascii="Arial" w:hAnsi="Arial"/>
                <w:b/>
                <w:i w:val="0"/>
                <w:color w:val="0B2545"/>
                <w:sz w:val="18"/>
              </w:rPr>
              <w:t>Decision</w:t>
            </w:r>
          </w:p>
        </w:tc>
        <w:tc>
          <w:tcPr>
            <w:tcW w:type="dxa" w:w="7460"/>
            <w:tcMar>
              <w:top w:w="100" w:type="dxa"/>
              <w:start w:w="140" w:type="dxa"/>
              <w:bottom w:w="100" w:type="dxa"/>
              <w:end w:w="140" w:type="dxa"/>
            </w:tcMar>
            <w:vAlign w:val="center"/>
          </w:tcPr>
          <w:p>
            <w:pPr>
              <w:spacing w:before="0" w:after="0" w:line="252" w:lineRule="auto"/>
              <w:jc w:val="left"/>
            </w:pPr>
            <w:r/>
            <w:r>
              <w:rPr>
                <w:rFonts w:ascii="Arial" w:hAnsi="Arial"/>
                <w:b w:val="0"/>
                <w:i w:val="0"/>
                <w:color w:val="1F2937"/>
                <w:sz w:val="18"/>
              </w:rPr>
              <w:t xml:space="preserve">GO - Close in Partial; validate separately before promotion</w:t>
            </w:r>
          </w:p>
        </w:tc>
      </w:tr>
      <w:tr>
        <w:tc>
          <w:tcPr>
            <w:tcW w:type="dxa" w:w="1900"/>
            <w:tcMar>
              <w:top w:w="100" w:type="dxa"/>
              <w:start w:w="140" w:type="dxa"/>
              <w:bottom w:w="100" w:type="dxa"/>
              <w:end w:w="140" w:type="dxa"/>
            </w:tcMar>
            <w:vAlign w:val="center"/>
            <w:shd w:fill="EAF2FA"/>
          </w:tcPr>
          <w:p>
            <w:pPr>
              <w:spacing w:before="0" w:after="0" w:line="252" w:lineRule="auto"/>
              <w:jc w:val="left"/>
            </w:pPr>
            <w:r/>
            <w:r>
              <w:rPr>
                <w:rFonts w:ascii="Arial" w:hAnsi="Arial"/>
                <w:b/>
                <w:i w:val="0"/>
                <w:color w:val="0B2545"/>
                <w:sz w:val="18"/>
              </w:rPr>
              <w:t>Boundary</w:t>
            </w:r>
          </w:p>
        </w:tc>
        <w:tc>
          <w:tcPr>
            <w:tcW w:type="dxa" w:w="7460"/>
            <w:tcMar>
              <w:top w:w="100" w:type="dxa"/>
              <w:start w:w="140" w:type="dxa"/>
              <w:bottom w:w="100" w:type="dxa"/>
              <w:end w:w="140" w:type="dxa"/>
            </w:tcMar>
            <w:vAlign w:val="center"/>
          </w:tcPr>
          <w:p>
            <w:pPr>
              <w:spacing w:before="0" w:after="0" w:line="252" w:lineRule="auto"/>
              <w:jc w:val="left"/>
            </w:pPr>
            <w:r/>
            <w:r>
              <w:rPr>
                <w:rFonts w:ascii="Arial" w:hAnsi="Arial"/>
                <w:b w:val="0"/>
                <w:i w:val="0"/>
                <w:color w:val="1F2937"/>
                <w:sz w:val="18"/>
              </w:rPr>
              <w:t xml:space="preserve">Read-only retrieval and check-only validation; no deployment or activation</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40" w:type="dxa"/>
              <w:bottom w:w="100" w:type="dxa"/>
              <w:end w:w="140" w:type="dxa"/>
            </w:tcMar>
            <w:vAlign w:val="center"/>
            <w:shd w:fill="FDECEC"/>
          </w:tcPr>
          <w:p>
            <w:pPr>
              <w:spacing w:after="40"/>
            </w:pPr>
            <w:r>
              <w:rPr>
                <w:rFonts w:ascii="Arial" w:hAnsi="Arial"/>
                <w:b/>
                <w:i w:val="0"/>
                <w:color w:val="C53030"/>
                <w:sz w:val="18"/>
              </w:rPr>
              <w:t>ARCHITECT DECISION</w:t>
            </w:r>
          </w:p>
          <w:p>
            <w:pPr>
              <w:spacing w:after="0" w:line="259" w:lineRule="auto"/>
            </w:pPr>
            <w:r>
              <w:rPr>
                <w:rFonts w:ascii="Arial" w:hAnsi="Arial"/>
                <w:b/>
                <w:i w:val="0"/>
                <w:color w:val="0B2545"/>
                <w:sz w:val="22"/>
              </w:rPr>
              <w:t xml:space="preserve">Approve SALDEV-1440 for closure in Partial. The checkbox, Line Editor visibility, and sales permissions are present, and the scoped field-set dry run passed unchanged. Keep SALDEV-1404 testing and cloning observations as linked follow-up scope.</w:t>
            </w:r>
          </w:p>
        </w:tc>
      </w:tr>
    </w:tbl>
    <w:p>
      <w:pPr>
        <w:spacing w:after="20"/>
      </w:pPr>
    </w:p>
    <w:p>
      <w:pPr>
        <w:pStyle w:val="Heading1"/>
        <w:keepNext/>
      </w:pPr>
      <w:r>
        <w:t>Acceptance outcome</w:t>
      </w:r>
    </w:p>
    <w:tbl>
      <w:tblPr>
        <w:tblStyle w:val="TableGrid"/>
        <w:tblW w:type="dxa" w:w="9360"/>
        <w:jc w:val="left"/>
        <w:tblLayout w:type="fixed"/>
        <w:tblLook w:firstColumn="1" w:firstRow="1" w:lastColumn="0" w:lastRow="0" w:noHBand="0" w:noVBand="1" w:val="04A0"/>
        <w:tblInd w:w="120" w:type="dxa"/>
      </w:tblPr>
      <w:tblGrid>
        <w:gridCol w:w="480"/>
        <w:gridCol w:w="2050"/>
        <w:gridCol w:w="1450"/>
        <w:gridCol w:w="5380"/>
      </w:tblGrid>
      <w:tr>
        <w:trPr>
          <w:tblHeader w:val="true"/>
        </w:trPr>
        <w:tc>
          <w:tcPr>
            <w:tcW w:type="dxa" w:w="480"/>
            <w:tcMar>
              <w:top w:w="100" w:type="dxa"/>
              <w:start w:w="140" w:type="dxa"/>
              <w:bottom w:w="100" w:type="dxa"/>
              <w:end w:w="140" w:type="dxa"/>
            </w:tcMar>
            <w:vAlign w:val="center"/>
            <w:shd w:fill="F2F4F7"/>
          </w:tcPr>
          <w:p>
            <w:pPr>
              <w:spacing w:before="0" w:after="0" w:line="252" w:lineRule="auto"/>
              <w:jc w:val="left"/>
            </w:pPr>
            <w:r/>
            <w:r>
              <w:rPr>
                <w:rFonts w:ascii="Arial" w:hAnsi="Arial"/>
                <w:b/>
                <w:i w:val="0"/>
                <w:color w:val="0B2545"/>
                <w:sz w:val="19"/>
              </w:rPr>
              <w:t>#</w:t>
            </w:r>
          </w:p>
        </w:tc>
        <w:tc>
          <w:tcPr>
            <w:tcW w:type="dxa" w:w="2050"/>
            <w:tcMar>
              <w:top w:w="100" w:type="dxa"/>
              <w:start w:w="140" w:type="dxa"/>
              <w:bottom w:w="100" w:type="dxa"/>
              <w:end w:w="140" w:type="dxa"/>
            </w:tcMar>
            <w:vAlign w:val="center"/>
            <w:shd w:fill="F2F4F7"/>
          </w:tcPr>
          <w:p>
            <w:pPr>
              <w:spacing w:before="0" w:after="0" w:line="252" w:lineRule="auto"/>
              <w:jc w:val="left"/>
            </w:pPr>
            <w:r/>
            <w:r>
              <w:rPr>
                <w:rFonts w:ascii="Arial" w:hAnsi="Arial"/>
                <w:b/>
                <w:i w:val="0"/>
                <w:color w:val="0B2545"/>
                <w:sz w:val="19"/>
              </w:rPr>
              <w:t>Scope</w:t>
            </w:r>
          </w:p>
        </w:tc>
        <w:tc>
          <w:tcPr>
            <w:tcW w:type="dxa" w:w="1450"/>
            <w:tcMar>
              <w:top w:w="100" w:type="dxa"/>
              <w:start w:w="140" w:type="dxa"/>
              <w:bottom w:w="100" w:type="dxa"/>
              <w:end w:w="140" w:type="dxa"/>
            </w:tcMar>
            <w:vAlign w:val="center"/>
            <w:shd w:fill="F2F4F7"/>
          </w:tcPr>
          <w:p>
            <w:pPr>
              <w:spacing w:before="0" w:after="0" w:line="252" w:lineRule="auto"/>
              <w:jc w:val="left"/>
            </w:pPr>
            <w:r/>
            <w:r>
              <w:rPr>
                <w:rFonts w:ascii="Arial" w:hAnsi="Arial"/>
                <w:b/>
                <w:i w:val="0"/>
                <w:color w:val="0B2545"/>
                <w:sz w:val="19"/>
              </w:rPr>
              <w:t>Result</w:t>
            </w:r>
          </w:p>
        </w:tc>
        <w:tc>
          <w:tcPr>
            <w:tcW w:type="dxa" w:w="5380"/>
            <w:tcMar>
              <w:top w:w="100" w:type="dxa"/>
              <w:start w:w="140" w:type="dxa"/>
              <w:bottom w:w="100" w:type="dxa"/>
              <w:end w:w="140" w:type="dxa"/>
            </w:tcMar>
            <w:vAlign w:val="center"/>
            <w:shd w:fill="F2F4F7"/>
          </w:tcPr>
          <w:p>
            <w:pPr>
              <w:spacing w:before="0" w:after="0" w:line="252" w:lineRule="auto"/>
              <w:jc w:val="left"/>
            </w:pPr>
            <w:r/>
            <w:r>
              <w:rPr>
                <w:rFonts w:ascii="Arial" w:hAnsi="Arial"/>
                <w:b/>
                <w:i w:val="0"/>
                <w:color w:val="0B2545"/>
                <w:sz w:val="19"/>
              </w:rPr>
              <w:t>Evidence</w:t>
            </w:r>
          </w:p>
        </w:tc>
      </w:tr>
      <w:tr>
        <w:tc>
          <w:tcPr>
            <w:tcW w:type="dxa" w:w="480"/>
          </w:tcPr>
          <w:p>
            <w:pPr>
              <w:spacing w:before="0" w:after="0" w:line="252" w:lineRule="auto"/>
              <w:jc w:val="left"/>
            </w:pPr>
            <w:r/>
            <w:r>
              <w:rPr>
                <w:rFonts w:ascii="Arial" w:hAnsi="Arial"/>
                <w:b w:val="0"/>
                <w:i w:val="0"/>
                <w:color w:val="1F2937"/>
                <w:sz w:val="18"/>
              </w:rPr>
              <w:t>1</w:t>
            </w:r>
          </w:p>
        </w:tc>
        <w:tc>
          <w:tcPr>
            <w:tcW w:type="dxa" w:w="2050"/>
          </w:tcPr>
          <w:p>
            <w:pPr>
              <w:spacing w:before="0" w:after="0" w:line="252" w:lineRule="auto"/>
              <w:jc w:val="left"/>
            </w:pPr>
            <w:r/>
            <w:r>
              <w:rPr>
                <w:rFonts w:ascii="Arial" w:hAnsi="Arial"/>
                <w:b w:val="0"/>
                <w:i w:val="0"/>
                <w:color w:val="1F2937"/>
                <w:sz w:val="18"/>
              </w:rPr>
              <w:t xml:space="preserve">Backend indicator</w:t>
            </w:r>
          </w:p>
        </w:tc>
        <w:tc>
          <w:tcPr>
            <w:tcW w:type="dxa" w:w="1450"/>
            <w:shd w:fill="E4F3EE"/>
          </w:tcPr>
          <w:p>
            <w:pPr>
              <w:spacing w:before="0" w:after="0" w:line="252" w:lineRule="auto"/>
              <w:jc w:val="center"/>
            </w:pPr>
            <w:r>
              <w:rPr>
                <w:color w:val="138A72"/>
                <w:b/>
              </w:rPr>
            </w:r>
            <w:r>
              <w:rPr>
                <w:rFonts w:ascii="Arial" w:hAnsi="Arial"/>
                <w:b/>
                <w:i w:val="0"/>
                <w:color w:val="138A72"/>
                <w:sz w:val="19"/>
              </w:rPr>
              <w:t xml:space="preserve">Pass</w:t>
            </w:r>
          </w:p>
        </w:tc>
        <w:tc>
          <w:tcPr>
            <w:tcW w:type="dxa" w:w="5380"/>
          </w:tcPr>
          <w:p>
            <w:pPr>
              <w:spacing w:before="0" w:after="0" w:line="252" w:lineRule="auto"/>
              <w:jc w:val="left"/>
            </w:pPr>
            <w:r/>
            <w:r>
              <w:rPr>
                <w:rFonts w:ascii="Arial" w:hAnsi="Arial"/>
                <w:b w:val="0"/>
                <w:i w:val="0"/>
                <w:color w:val="1F2937"/>
                <w:sz w:val="18"/>
              </w:rPr>
              <w:t xml:space="preserve">Allow Product Ramping exists on SBQQ__QuoteLineGroup__c as a checkbox with default false.</w:t>
            </w:r>
          </w:p>
        </w:tc>
      </w:tr>
      <w:tr>
        <w:tc>
          <w:tcPr>
            <w:tcW w:type="dxa" w:w="480"/>
          </w:tcPr>
          <w:p>
            <w:pPr>
              <w:spacing w:before="0" w:after="0" w:line="252" w:lineRule="auto"/>
              <w:jc w:val="left"/>
            </w:pPr>
            <w:r/>
            <w:r>
              <w:rPr>
                <w:rFonts w:ascii="Arial" w:hAnsi="Arial"/>
                <w:b w:val="0"/>
                <w:i w:val="0"/>
                <w:color w:val="1F2937"/>
                <w:sz w:val="18"/>
              </w:rPr>
              <w:t>2</w:t>
            </w:r>
          </w:p>
        </w:tc>
        <w:tc>
          <w:tcPr>
            <w:tcW w:type="dxa" w:w="2050"/>
          </w:tcPr>
          <w:p>
            <w:pPr>
              <w:spacing w:before="0" w:after="0" w:line="252" w:lineRule="auto"/>
              <w:jc w:val="left"/>
            </w:pPr>
            <w:r/>
            <w:r>
              <w:rPr>
                <w:rFonts w:ascii="Arial" w:hAnsi="Arial"/>
                <w:b w:val="0"/>
                <w:i w:val="0"/>
                <w:color w:val="1F2937"/>
                <w:sz w:val="18"/>
              </w:rPr>
              <w:t xml:space="preserve">QLE visibility</w:t>
            </w:r>
          </w:p>
        </w:tc>
        <w:tc>
          <w:tcPr>
            <w:tcW w:type="dxa" w:w="1450"/>
            <w:shd w:fill="E4F3EE"/>
          </w:tcPr>
          <w:p>
            <w:pPr>
              <w:spacing w:before="0" w:after="0" w:line="252" w:lineRule="auto"/>
              <w:jc w:val="center"/>
            </w:pPr>
            <w:r>
              <w:rPr>
                <w:color w:val="138A72"/>
                <w:b/>
              </w:rPr>
            </w:r>
            <w:r>
              <w:rPr>
                <w:rFonts w:ascii="Arial" w:hAnsi="Arial"/>
                <w:b/>
                <w:i w:val="0"/>
                <w:color w:val="138A72"/>
                <w:sz w:val="19"/>
              </w:rPr>
              <w:t xml:space="preserve">Pass</w:t>
            </w:r>
          </w:p>
        </w:tc>
        <w:tc>
          <w:tcPr>
            <w:tcW w:type="dxa" w:w="5380"/>
          </w:tcPr>
          <w:p>
            <w:pPr>
              <w:spacing w:before="0" w:after="0" w:line="252" w:lineRule="auto"/>
              <w:jc w:val="left"/>
            </w:pPr>
            <w:r/>
            <w:r>
              <w:rPr>
                <w:rFonts w:ascii="Arial" w:hAnsi="Arial"/>
                <w:b w:val="0"/>
                <w:i w:val="0"/>
                <w:color w:val="1F2937"/>
                <w:sz w:val="18"/>
              </w:rPr>
              <w:t xml:space="preserve">SBQQ__LineEditor displays the checkbox with effective start, subscription term, and effective end.</w:t>
            </w:r>
          </w:p>
        </w:tc>
      </w:tr>
      <w:tr>
        <w:tc>
          <w:tcPr>
            <w:tcW w:type="dxa" w:w="480"/>
          </w:tcPr>
          <w:p>
            <w:pPr>
              <w:spacing w:before="0" w:after="0" w:line="252" w:lineRule="auto"/>
              <w:jc w:val="left"/>
            </w:pPr>
            <w:r/>
            <w:r>
              <w:rPr>
                <w:rFonts w:ascii="Arial" w:hAnsi="Arial"/>
                <w:b w:val="0"/>
                <w:i w:val="0"/>
                <w:color w:val="1F2937"/>
                <w:sz w:val="18"/>
              </w:rPr>
              <w:t>3</w:t>
            </w:r>
          </w:p>
        </w:tc>
        <w:tc>
          <w:tcPr>
            <w:tcW w:type="dxa" w:w="2050"/>
          </w:tcPr>
          <w:p>
            <w:pPr>
              <w:spacing w:before="0" w:after="0" w:line="252" w:lineRule="auto"/>
              <w:jc w:val="left"/>
            </w:pPr>
            <w:r/>
            <w:r>
              <w:rPr>
                <w:rFonts w:ascii="Arial" w:hAnsi="Arial"/>
                <w:b w:val="0"/>
                <w:i w:val="0"/>
                <w:color w:val="1F2937"/>
                <w:sz w:val="18"/>
              </w:rPr>
              <w:t xml:space="preserve">Sales access</w:t>
            </w:r>
          </w:p>
        </w:tc>
        <w:tc>
          <w:tcPr>
            <w:tcW w:type="dxa" w:w="1450"/>
            <w:shd w:fill="E4F3EE"/>
          </w:tcPr>
          <w:p>
            <w:pPr>
              <w:spacing w:before="0" w:after="0" w:line="252" w:lineRule="auto"/>
              <w:jc w:val="center"/>
            </w:pPr>
            <w:r>
              <w:rPr>
                <w:color w:val="138A72"/>
                <w:b/>
              </w:rPr>
            </w:r>
            <w:r>
              <w:rPr>
                <w:rFonts w:ascii="Arial" w:hAnsi="Arial"/>
                <w:b/>
                <w:i w:val="0"/>
                <w:color w:val="138A72"/>
                <w:sz w:val="19"/>
              </w:rPr>
              <w:t xml:space="preserve">Pass</w:t>
            </w:r>
          </w:p>
        </w:tc>
        <w:tc>
          <w:tcPr>
            <w:tcW w:type="dxa" w:w="5380"/>
          </w:tcPr>
          <w:p>
            <w:pPr>
              <w:spacing w:before="0" w:after="0" w:line="252" w:lineRule="auto"/>
              <w:jc w:val="left"/>
            </w:pPr>
            <w:r/>
            <w:r>
              <w:rPr>
                <w:rFonts w:ascii="Arial" w:hAnsi="Arial"/>
                <w:b w:val="0"/>
                <w:i w:val="0"/>
                <w:color w:val="1F2937"/>
                <w:sz w:val="18"/>
              </w:rPr>
              <w:t xml:space="preserve">CPQ Sales Permissions grants readable=true and editable=true for the indicator.</w:t>
            </w:r>
          </w:p>
        </w:tc>
      </w:tr>
      <w:tr>
        <w:tc>
          <w:tcPr>
            <w:tcW w:type="dxa" w:w="480"/>
          </w:tcPr>
          <w:p>
            <w:pPr>
              <w:spacing w:before="0" w:after="0" w:line="252" w:lineRule="auto"/>
              <w:jc w:val="left"/>
            </w:pPr>
            <w:r/>
            <w:r>
              <w:rPr>
                <w:rFonts w:ascii="Arial" w:hAnsi="Arial"/>
                <w:b w:val="0"/>
                <w:i w:val="0"/>
                <w:color w:val="1F2937"/>
                <w:sz w:val="18"/>
              </w:rPr>
              <w:t>4</w:t>
            </w:r>
          </w:p>
        </w:tc>
        <w:tc>
          <w:tcPr>
            <w:tcW w:type="dxa" w:w="2050"/>
          </w:tcPr>
          <w:p>
            <w:pPr>
              <w:spacing w:before="0" w:after="0" w:line="252" w:lineRule="auto"/>
              <w:jc w:val="left"/>
            </w:pPr>
            <w:r/>
            <w:r>
              <w:rPr>
                <w:rFonts w:ascii="Arial" w:hAnsi="Arial"/>
                <w:b w:val="0"/>
                <w:i w:val="0"/>
                <w:color w:val="1F2937"/>
                <w:sz w:val="18"/>
              </w:rPr>
              <w:t xml:space="preserve">Ramped cloning</w:t>
            </w:r>
          </w:p>
        </w:tc>
        <w:tc>
          <w:tcPr>
            <w:tcW w:type="dxa" w:w="1450"/>
            <w:shd w:fill="E4F3EE"/>
          </w:tcPr>
          <w:p>
            <w:pPr>
              <w:spacing w:before="0" w:after="0" w:line="252" w:lineRule="auto"/>
              <w:jc w:val="center"/>
            </w:pPr>
            <w:r>
              <w:rPr>
                <w:color w:val="138A72"/>
                <w:b/>
              </w:rPr>
            </w:r>
            <w:r>
              <w:rPr>
                <w:rFonts w:ascii="Arial" w:hAnsi="Arial"/>
                <w:b/>
                <w:i w:val="0"/>
                <w:color w:val="138A72"/>
                <w:sz w:val="19"/>
              </w:rPr>
              <w:t xml:space="preserve">Pass</w:t>
            </w:r>
          </w:p>
        </w:tc>
        <w:tc>
          <w:tcPr>
            <w:tcW w:type="dxa" w:w="5380"/>
          </w:tcPr>
          <w:p>
            <w:pPr>
              <w:spacing w:before="0" w:after="0" w:line="252" w:lineRule="auto"/>
              <w:jc w:val="left"/>
            </w:pPr>
            <w:r/>
            <w:r>
              <w:rPr>
                <w:rFonts w:ascii="Arial" w:hAnsi="Arial"/>
                <w:b w:val="0"/>
                <w:i w:val="0"/>
                <w:color w:val="1F2937"/>
                <w:sz w:val="18"/>
              </w:rPr>
              <w:t xml:space="preserve">Partial review confirmed cloning saves once the groups cover the full contract timeframe.</w:t>
            </w:r>
          </w:p>
        </w:tc>
      </w:tr>
      <w:tr>
        <w:tc>
          <w:tcPr>
            <w:tcW w:type="dxa" w:w="480"/>
          </w:tcPr>
          <w:p>
            <w:pPr>
              <w:spacing w:before="0" w:after="0" w:line="252" w:lineRule="auto"/>
              <w:jc w:val="left"/>
            </w:pPr>
            <w:r/>
            <w:r>
              <w:rPr>
                <w:rFonts w:ascii="Arial" w:hAnsi="Arial"/>
                <w:b w:val="0"/>
                <w:i w:val="0"/>
                <w:color w:val="1F2937"/>
                <w:sz w:val="18"/>
              </w:rPr>
              <w:t>5</w:t>
            </w:r>
          </w:p>
        </w:tc>
        <w:tc>
          <w:tcPr>
            <w:tcW w:type="dxa" w:w="2050"/>
          </w:tcPr>
          <w:p>
            <w:pPr>
              <w:spacing w:before="0" w:after="0" w:line="252" w:lineRule="auto"/>
              <w:jc w:val="left"/>
            </w:pPr>
            <w:r/>
            <w:r>
              <w:rPr>
                <w:rFonts w:ascii="Arial" w:hAnsi="Arial"/>
                <w:b w:val="0"/>
                <w:i w:val="0"/>
                <w:color w:val="1F2937"/>
                <w:sz w:val="18"/>
              </w:rPr>
              <w:t xml:space="preserve">Standard grouping</w:t>
            </w:r>
          </w:p>
        </w:tc>
        <w:tc>
          <w:tcPr>
            <w:tcW w:type="dxa" w:w="1450"/>
            <w:shd w:fill="E4F3EE"/>
          </w:tcPr>
          <w:p>
            <w:pPr>
              <w:spacing w:before="0" w:after="0" w:line="252" w:lineRule="auto"/>
              <w:jc w:val="center"/>
            </w:pPr>
            <w:r>
              <w:rPr>
                <w:color w:val="138A72"/>
                <w:b/>
              </w:rPr>
            </w:r>
            <w:r>
              <w:rPr>
                <w:rFonts w:ascii="Arial" w:hAnsi="Arial"/>
                <w:b/>
                <w:i w:val="0"/>
                <w:color w:val="138A72"/>
                <w:sz w:val="19"/>
              </w:rPr>
              <w:t xml:space="preserve">Pass</w:t>
            </w:r>
          </w:p>
        </w:tc>
        <w:tc>
          <w:tcPr>
            <w:tcW w:type="dxa" w:w="5380"/>
          </w:tcPr>
          <w:p>
            <w:pPr>
              <w:spacing w:before="0" w:after="0" w:line="252" w:lineRule="auto"/>
              <w:jc w:val="left"/>
            </w:pPr>
            <w:r/>
            <w:r>
              <w:rPr>
                <w:rFonts w:ascii="Arial" w:hAnsi="Arial"/>
                <w:b w:val="0"/>
                <w:i w:val="0"/>
                <w:color w:val="1F2937"/>
                <w:sz w:val="18"/>
              </w:rPr>
              <w:t xml:space="preserve">Different products and the same product with different Ship To locations were confirmed.</w:t>
            </w:r>
          </w:p>
        </w:tc>
      </w:tr>
      <w:tr>
        <w:tc>
          <w:tcPr>
            <w:tcW w:type="dxa" w:w="480"/>
          </w:tcPr>
          <w:p>
            <w:pPr>
              <w:spacing w:before="0" w:after="0" w:line="252" w:lineRule="auto"/>
              <w:jc w:val="left"/>
            </w:pPr>
            <w:r/>
            <w:r>
              <w:rPr>
                <w:rFonts w:ascii="Arial" w:hAnsi="Arial"/>
                <w:b w:val="0"/>
                <w:i w:val="0"/>
                <w:color w:val="1F2937"/>
                <w:sz w:val="18"/>
              </w:rPr>
              <w:t>6</w:t>
            </w:r>
          </w:p>
        </w:tc>
        <w:tc>
          <w:tcPr>
            <w:tcW w:type="dxa" w:w="2050"/>
          </w:tcPr>
          <w:p>
            <w:pPr>
              <w:spacing w:before="0" w:after="0" w:line="252" w:lineRule="auto"/>
              <w:jc w:val="left"/>
            </w:pPr>
            <w:r/>
            <w:r>
              <w:rPr>
                <w:rFonts w:ascii="Arial" w:hAnsi="Arial"/>
                <w:b w:val="0"/>
                <w:i w:val="0"/>
                <w:color w:val="1F2937"/>
                <w:sz w:val="18"/>
              </w:rPr>
              <w:t xml:space="preserve">Scope separation</w:t>
            </w:r>
          </w:p>
        </w:tc>
        <w:tc>
          <w:tcPr>
            <w:tcW w:type="dxa" w:w="1450"/>
            <w:shd w:fill="E4F3EE"/>
          </w:tcPr>
          <w:p>
            <w:pPr>
              <w:spacing w:before="0" w:after="0" w:line="252" w:lineRule="auto"/>
              <w:jc w:val="center"/>
            </w:pPr>
            <w:r>
              <w:rPr>
                <w:color w:val="138A72"/>
                <w:b/>
              </w:rPr>
            </w:r>
            <w:r>
              <w:rPr>
                <w:rFonts w:ascii="Arial" w:hAnsi="Arial"/>
                <w:b/>
                <w:i w:val="0"/>
                <w:color w:val="138A72"/>
                <w:sz w:val="19"/>
              </w:rPr>
              <w:t xml:space="preserve">Scoped pass</w:t>
            </w:r>
          </w:p>
        </w:tc>
        <w:tc>
          <w:tcPr>
            <w:tcW w:type="dxa" w:w="5380"/>
          </w:tcPr>
          <w:p>
            <w:pPr>
              <w:spacing w:before="0" w:after="0" w:line="252" w:lineRule="auto"/>
              <w:jc w:val="left"/>
            </w:pPr>
            <w:r/>
            <w:r>
              <w:rPr>
                <w:rFonts w:ascii="Arial" w:hAnsi="Arial"/>
                <w:b w:val="0"/>
                <w:i w:val="0"/>
                <w:color w:val="1F2937"/>
                <w:sz w:val="18"/>
              </w:rPr>
              <w:t xml:space="preserve">SALDEV-1404 owns deeper duplicate testing; fee carry-over and later-group roll-down are separate observations.</w:t>
            </w:r>
          </w:p>
        </w:tc>
      </w:tr>
    </w:tbl>
    <w:p>
      <w:pPr>
        <w:spacing w:after="20"/>
      </w:pPr>
    </w:p>
    <w:p>
      <w:r>
        <w:br w:type="page"/>
      </w:r>
    </w:p>
    <w:p>
      <w:pPr>
        <w:pStyle w:val="Heading1"/>
        <w:keepNext/>
      </w:pPr>
      <w:r>
        <w:t>Deployment readiness path</w:t>
      </w:r>
    </w:p>
    <w:p>
      <w:pPr>
        <w:spacing w:after="120" w:line="264" w:lineRule="auto"/>
      </w:pPr>
      <w:r>
        <w:rPr>
          <w:rFonts w:ascii="Arial" w:hAnsi="Arial"/>
          <w:b w:val="0"/>
          <w:i w:val="0"/>
          <w:color w:val="1F2937"/>
          <w:sz w:val="22"/>
        </w:rPr>
        <w:t xml:space="preserve">The live Partial configuration and local story source now align. The scoped dry run passed unchanged; promotion to another org still requires its own package and validation.</w:t>
      </w:r>
    </w:p>
    <w:p>
      <w:pPr>
        <w:keepNext/>
        <w:jc w:val="center"/>
      </w:pPr>
      <w:r>
        <w:drawing>
          <wp:inline xmlns:a="http://schemas.openxmlformats.org/drawingml/2006/main" xmlns:pic="http://schemas.openxmlformats.org/drawingml/2006/picture">
            <wp:extent cx="5897880" cy="3759898"/>
            <wp:docPr id="1" name="Picture 1" title="Figure 1. SCC-3385 Merge-to-UAT validation path" descr="Diagram showing GreatPlainsMerge metadata moving into a corrected fourteen-component check-only package and failing in GreatPlainsUAT. The lower lane lists missing prerequisites and the NO-GO architect decision."/>
            <wp:cNvGraphicFramePr>
              <a:graphicFrameLocks noChangeAspect="1"/>
            </wp:cNvGraphicFramePr>
            <a:graphic>
              <a:graphicData uri="http://schemas.openxmlformats.org/drawingml/2006/picture">
                <pic:pic>
                  <pic:nvPicPr>
                    <pic:cNvPr id="0" name="scc3385-deployment-validation-path.png"/>
                    <pic:cNvPicPr/>
                  </pic:nvPicPr>
                  <pic:blipFill>
                    <a:blip r:embed="rId17"/>
                    <a:stretch>
                      <a:fillRect/>
                    </a:stretch>
                  </pic:blipFill>
                  <pic:spPr>
                    <a:xfrm>
                      <a:off x="0" y="0"/>
                      <a:ext cx="5897880" cy="3759898"/>
                    </a:xfrm>
                    <a:prstGeom prst="rect"/>
                  </pic:spPr>
                </pic:pic>
              </a:graphicData>
            </a:graphic>
          </wp:inline>
        </w:drawing>
      </w:r>
    </w:p>
    <w:p>
      <w:pPr>
        <w:keepNext/>
        <w:spacing w:before="40" w:after="160"/>
        <w:jc w:val="center"/>
      </w:pPr>
      <w:r>
        <w:rPr>
          <w:rFonts w:ascii="Arial" w:hAnsi="Arial"/>
          <w:b w:val="0"/>
          <w:i/>
          <w:color w:val="5B6777"/>
          <w:sz w:val="18"/>
        </w:rPr>
        <w:t xml:space="preserve">Figure 1. SALDEV-1440 Partial verification path</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40" w:type="dxa"/>
              <w:bottom w:w="100" w:type="dxa"/>
              <w:end w:w="140" w:type="dxa"/>
            </w:tcMar>
            <w:vAlign w:val="center"/>
            <w:shd w:fill="EAF2FA"/>
          </w:tcPr>
          <w:p>
            <w:pPr>
              <w:spacing w:after="40"/>
            </w:pPr>
            <w:r>
              <w:rPr>
                <w:rFonts w:ascii="Arial" w:hAnsi="Arial"/>
                <w:b/>
                <w:i w:val="0"/>
                <w:color w:val="2E74B5"/>
                <w:sz w:val="18"/>
              </w:rPr>
              <w:t>DESIGN READING</w:t>
            </w:r>
          </w:p>
          <w:p>
            <w:pPr>
              <w:spacing w:after="0" w:line="259" w:lineRule="auto"/>
            </w:pPr>
            <w:r>
              <w:rPr>
                <w:rFonts w:ascii="Arial" w:hAnsi="Arial"/>
                <w:b/>
                <w:i w:val="0"/>
                <w:color w:val="0B2545"/>
                <w:sz w:val="22"/>
              </w:rPr>
              <w:t xml:space="preserve">Green is verified in Partial. Blue is synchronized source. Amber remains linked follow-up scope.</w:t>
            </w:r>
          </w:p>
        </w:tc>
      </w:tr>
    </w:tbl>
    <w:p>
      <w:pPr>
        <w:spacing w:after="20"/>
      </w:pPr>
    </w:p>
    <w:p>
      <w:r>
        <w:br w:type="page"/>
      </w:r>
    </w:p>
    <w:p>
      <w:pPr>
        <w:pStyle w:val="Heading1"/>
        <w:keepNext/>
      </w:pPr>
      <w:r>
        <w:t>Detailed dry-run findings</w:t>
      </w:r>
    </w:p>
    <w:p>
      <w:pPr>
        <w:pStyle w:val="Heading2"/>
        <w:keepNext/>
      </w:pPr>
      <w:r>
        <w:t>1. Check-only deployment evidence</w:t>
      </w:r>
    </w:p>
    <w:tbl>
      <w:tblPr>
        <w:tblStyle w:val="TableGrid"/>
        <w:tblW w:type="dxa" w:w="9360"/>
        <w:jc w:val="left"/>
        <w:tblLayout w:type="fixed"/>
        <w:tblLook w:firstColumn="1" w:firstRow="1" w:lastColumn="0" w:lastRow="0" w:noHBand="0" w:noVBand="1" w:val="04A0"/>
        <w:tblInd w:w="120" w:type="dxa"/>
      </w:tblPr>
      <w:tblGrid>
        <w:gridCol w:w="1750"/>
        <w:gridCol w:w="2350"/>
        <w:gridCol w:w="5260"/>
      </w:tblGrid>
      <w:tr>
        <w:trPr>
          <w:tblHeader w:val="true"/>
        </w:trPr>
        <w:tc>
          <w:tcPr>
            <w:tcW w:type="dxa" w:w="1750"/>
            <w:tcMar>
              <w:top w:w="100" w:type="dxa"/>
              <w:start w:w="140" w:type="dxa"/>
              <w:bottom w:w="100" w:type="dxa"/>
              <w:end w:w="140" w:type="dxa"/>
            </w:tcMar>
            <w:vAlign w:val="center"/>
            <w:shd w:fill="F2F4F7"/>
          </w:tcPr>
          <w:p>
            <w:pPr>
              <w:spacing w:before="0" w:after="0" w:line="252" w:lineRule="auto"/>
              <w:jc w:val="left"/>
            </w:pPr>
            <w:r/>
            <w:r>
              <w:rPr>
                <w:rFonts w:ascii="Arial" w:hAnsi="Arial"/>
                <w:b/>
                <w:i w:val="0"/>
                <w:color w:val="0B2545"/>
                <w:sz w:val="19"/>
              </w:rPr>
              <w:t>Metric</w:t>
            </w:r>
          </w:p>
        </w:tc>
        <w:tc>
          <w:tcPr>
            <w:tcW w:type="dxa" w:w="2350"/>
            <w:tcMar>
              <w:top w:w="100" w:type="dxa"/>
              <w:start w:w="140" w:type="dxa"/>
              <w:bottom w:w="100" w:type="dxa"/>
              <w:end w:w="140" w:type="dxa"/>
            </w:tcMar>
            <w:vAlign w:val="center"/>
            <w:shd w:fill="F2F4F7"/>
          </w:tcPr>
          <w:p>
            <w:pPr>
              <w:spacing w:before="0" w:after="0" w:line="252" w:lineRule="auto"/>
              <w:jc w:val="left"/>
            </w:pPr>
            <w:r/>
            <w:r>
              <w:rPr>
                <w:rFonts w:ascii="Arial" w:hAnsi="Arial"/>
                <w:b/>
                <w:i w:val="0"/>
                <w:color w:val="0B2545"/>
                <w:sz w:val="19"/>
              </w:rPr>
              <w:t>Result</w:t>
            </w:r>
          </w:p>
        </w:tc>
        <w:tc>
          <w:tcPr>
            <w:tcW w:type="dxa" w:w="5260"/>
            <w:tcMar>
              <w:top w:w="100" w:type="dxa"/>
              <w:start w:w="140" w:type="dxa"/>
              <w:bottom w:w="100" w:type="dxa"/>
              <w:end w:w="140" w:type="dxa"/>
            </w:tcMar>
            <w:vAlign w:val="center"/>
            <w:shd w:fill="F2F4F7"/>
          </w:tcPr>
          <w:p>
            <w:pPr>
              <w:spacing w:before="0" w:after="0" w:line="252" w:lineRule="auto"/>
              <w:jc w:val="left"/>
            </w:pPr>
            <w:r/>
            <w:r>
              <w:rPr>
                <w:rFonts w:ascii="Arial" w:hAnsi="Arial"/>
                <w:b/>
                <w:i w:val="0"/>
                <w:color w:val="0B2545"/>
                <w:sz w:val="19"/>
              </w:rPr>
              <w:t>Evidence</w:t>
            </w:r>
          </w:p>
        </w:tc>
      </w:tr>
      <w:tr>
        <w:tc>
          <w:tcPr>
            <w:tcW w:type="dxa" w:w="1750"/>
          </w:tcPr>
          <w:p>
            <w:pPr>
              <w:spacing w:before="0" w:after="0" w:line="252" w:lineRule="auto"/>
              <w:jc w:val="left"/>
            </w:pPr>
            <w:r/>
            <w:r>
              <w:rPr>
                <w:rFonts w:ascii="Arial" w:hAnsi="Arial"/>
                <w:b w:val="0"/>
                <w:i w:val="0"/>
                <w:color w:val="1F2937"/>
                <w:sz w:val="18"/>
              </w:rPr>
              <w:t>Job</w:t>
            </w:r>
          </w:p>
        </w:tc>
        <w:tc>
          <w:tcPr>
            <w:tcW w:type="dxa" w:w="2350"/>
          </w:tcPr>
          <w:p>
            <w:pPr>
              <w:spacing w:before="0" w:after="0" w:line="252" w:lineRule="auto"/>
              <w:jc w:val="left"/>
            </w:pPr>
            <w:r/>
            <w:r>
              <w:rPr>
                <w:rFonts w:ascii="Arial" w:hAnsi="Arial"/>
                <w:b w:val="0"/>
                <w:i w:val="0"/>
                <w:color w:val="1F2937"/>
                <w:sz w:val="18"/>
              </w:rPr>
              <w:t xml:space="preserve">0AfhG000001XgKrSAK</w:t>
            </w:r>
          </w:p>
        </w:tc>
        <w:tc>
          <w:tcPr>
            <w:tcW w:type="dxa" w:w="5260"/>
          </w:tcPr>
          <w:p>
            <w:pPr>
              <w:spacing w:before="0" w:after="0" w:line="252" w:lineRule="auto"/>
              <w:jc w:val="left"/>
            </w:pPr>
            <w:r/>
            <w:r>
              <w:rPr>
                <w:rFonts w:ascii="Arial" w:hAnsi="Arial"/>
                <w:b w:val="0"/>
                <w:i w:val="0"/>
                <w:color w:val="1F2937"/>
                <w:sz w:val="18"/>
              </w:rPr>
              <w:t xml:space="preserve">checkOnly=true; rollbackOnError=true; NoTestRun</w:t>
            </w:r>
          </w:p>
        </w:tc>
      </w:tr>
      <w:tr>
        <w:tc>
          <w:tcPr>
            <w:tcW w:type="dxa" w:w="1750"/>
          </w:tcPr>
          <w:p>
            <w:pPr>
              <w:spacing w:before="0" w:after="0" w:line="252" w:lineRule="auto"/>
              <w:jc w:val="left"/>
            </w:pPr>
            <w:r/>
            <w:r>
              <w:rPr>
                <w:rFonts w:ascii="Arial" w:hAnsi="Arial"/>
                <w:b w:val="0"/>
                <w:i w:val="0"/>
                <w:color w:val="1F2937"/>
                <w:sz w:val="18"/>
              </w:rPr>
              <w:t>Payload</w:t>
            </w:r>
          </w:p>
        </w:tc>
        <w:tc>
          <w:tcPr>
            <w:tcW w:type="dxa" w:w="2350"/>
          </w:tcPr>
          <w:p>
            <w:pPr>
              <w:spacing w:before="0" w:after="0" w:line="252" w:lineRule="auto"/>
              <w:jc w:val="left"/>
            </w:pPr>
            <w:r/>
            <w:r>
              <w:rPr>
                <w:rFonts w:ascii="Arial" w:hAnsi="Arial"/>
                <w:b w:val="0"/>
                <w:i w:val="0"/>
                <w:color w:val="1F2937"/>
                <w:sz w:val="18"/>
              </w:rPr>
              <w:t xml:space="preserve">1 component / 3 files</w:t>
            </w:r>
          </w:p>
        </w:tc>
        <w:tc>
          <w:tcPr>
            <w:tcW w:type="dxa" w:w="5260"/>
          </w:tcPr>
          <w:p>
            <w:pPr>
              <w:spacing w:before="0" w:after="0" w:line="252" w:lineRule="auto"/>
              <w:jc w:val="left"/>
            </w:pPr>
            <w:r/>
            <w:r>
              <w:rPr>
                <w:rFonts w:ascii="Arial" w:hAnsi="Arial"/>
                <w:b w:val="0"/>
                <w:i w:val="0"/>
                <w:color w:val="1F2937"/>
                <w:sz w:val="18"/>
              </w:rPr>
              <w:t xml:space="preserve">FieldSet: SBQQ__QuoteLineGroup__c.SBQQ__LineEditor</w:t>
            </w:r>
          </w:p>
        </w:tc>
      </w:tr>
      <w:tr>
        <w:tc>
          <w:tcPr>
            <w:tcW w:type="dxa" w:w="1750"/>
          </w:tcPr>
          <w:p>
            <w:pPr>
              <w:spacing w:before="0" w:after="0" w:line="252" w:lineRule="auto"/>
              <w:jc w:val="left"/>
            </w:pPr>
            <w:r/>
            <w:r>
              <w:rPr>
                <w:rFonts w:ascii="Arial" w:hAnsi="Arial"/>
                <w:b w:val="0"/>
                <w:i w:val="0"/>
                <w:color w:val="1F2937"/>
                <w:sz w:val="18"/>
              </w:rPr>
              <w:t>Validated</w:t>
            </w:r>
          </w:p>
        </w:tc>
        <w:tc>
          <w:tcPr>
            <w:tcW w:type="dxa" w:w="2350"/>
          </w:tcPr>
          <w:p>
            <w:pPr>
              <w:spacing w:before="0" w:after="0" w:line="252" w:lineRule="auto"/>
              <w:jc w:val="left"/>
            </w:pPr>
            <w:r/>
            <w:r>
              <w:rPr>
                <w:rFonts w:ascii="Arial" w:hAnsi="Arial"/>
                <w:b w:val="0"/>
                <w:i w:val="0"/>
                <w:color w:val="1F2937"/>
                <w:sz w:val="18"/>
              </w:rPr>
              <w:t xml:space="preserve">1</w:t>
            </w:r>
          </w:p>
        </w:tc>
        <w:tc>
          <w:tcPr>
            <w:tcW w:type="dxa" w:w="5260"/>
          </w:tcPr>
          <w:p>
            <w:pPr>
              <w:spacing w:before="0" w:after="0" w:line="252" w:lineRule="auto"/>
              <w:jc w:val="left"/>
            </w:pPr>
            <w:r/>
            <w:r>
              <w:rPr>
                <w:rFonts w:ascii="Arial" w:hAnsi="Arial"/>
                <w:b w:val="0"/>
                <w:i w:val="0"/>
                <w:color w:val="1F2937"/>
                <w:sz w:val="18"/>
              </w:rPr>
              <w:t xml:space="preserve">The field set validated successfully and was reported unchanged against FlywirePartial.</w:t>
            </w:r>
          </w:p>
        </w:tc>
      </w:tr>
      <w:tr>
        <w:tc>
          <w:tcPr>
            <w:tcW w:type="dxa" w:w="1750"/>
          </w:tcPr>
          <w:p>
            <w:pPr>
              <w:spacing w:before="0" w:after="0" w:line="252" w:lineRule="auto"/>
              <w:jc w:val="left"/>
            </w:pPr>
            <w:r/>
            <w:r>
              <w:rPr>
                <w:rFonts w:ascii="Arial" w:hAnsi="Arial"/>
                <w:b w:val="0"/>
                <w:i w:val="0"/>
                <w:color w:val="1F2937"/>
                <w:sz w:val="18"/>
              </w:rPr>
              <w:t>Failed</w:t>
            </w:r>
          </w:p>
        </w:tc>
        <w:tc>
          <w:tcPr>
            <w:tcW w:type="dxa" w:w="2350"/>
          </w:tcPr>
          <w:p>
            <w:pPr>
              <w:spacing w:before="0" w:after="0" w:line="252" w:lineRule="auto"/>
              <w:jc w:val="left"/>
            </w:pPr>
            <w:r/>
            <w:r>
              <w:rPr>
                <w:rFonts w:ascii="Arial" w:hAnsi="Arial"/>
                <w:b w:val="0"/>
                <w:i w:val="0"/>
                <w:color w:val="1F2937"/>
                <w:sz w:val="18"/>
              </w:rPr>
              <w:t xml:space="preserve">0</w:t>
            </w:r>
          </w:p>
        </w:tc>
        <w:tc>
          <w:tcPr>
            <w:tcW w:type="dxa" w:w="5260"/>
          </w:tcPr>
          <w:p>
            <w:pPr>
              <w:spacing w:before="0" w:after="0" w:line="252" w:lineRule="auto"/>
              <w:jc w:val="left"/>
            </w:pPr>
            <w:r/>
            <w:r>
              <w:rPr>
                <w:rFonts w:ascii="Arial" w:hAnsi="Arial"/>
                <w:b w:val="0"/>
                <w:i w:val="0"/>
                <w:color w:val="1F2937"/>
                <w:sz w:val="18"/>
              </w:rPr>
              <w:t xml:space="preserve">No component failures or warnings were returned.</w:t>
            </w:r>
          </w:p>
        </w:tc>
      </w:tr>
      <w:tr>
        <w:tc>
          <w:tcPr>
            <w:tcW w:type="dxa" w:w="1750"/>
          </w:tcPr>
          <w:p>
            <w:pPr>
              <w:spacing w:before="0" w:after="0" w:line="252" w:lineRule="auto"/>
              <w:jc w:val="left"/>
            </w:pPr>
            <w:r/>
            <w:r>
              <w:rPr>
                <w:rFonts w:ascii="Arial" w:hAnsi="Arial"/>
                <w:b w:val="0"/>
                <w:i w:val="0"/>
                <w:color w:val="1F2937"/>
                <w:sz w:val="18"/>
              </w:rPr>
              <w:t>Tests</w:t>
            </w:r>
          </w:p>
        </w:tc>
        <w:tc>
          <w:tcPr>
            <w:tcW w:type="dxa" w:w="2350"/>
          </w:tcPr>
          <w:p>
            <w:pPr>
              <w:spacing w:before="0" w:after="0" w:line="252" w:lineRule="auto"/>
              <w:jc w:val="left"/>
            </w:pPr>
            <w:r/>
            <w:r>
              <w:rPr>
                <w:rFonts w:ascii="Arial" w:hAnsi="Arial"/>
                <w:b w:val="0"/>
                <w:i w:val="0"/>
                <w:color w:val="1F2937"/>
                <w:sz w:val="18"/>
              </w:rPr>
              <w:t>0</w:t>
            </w:r>
          </w:p>
        </w:tc>
        <w:tc>
          <w:tcPr>
            <w:tcW w:type="dxa" w:w="5260"/>
          </w:tcPr>
          <w:p>
            <w:pPr>
              <w:spacing w:before="0" w:after="0" w:line="252" w:lineRule="auto"/>
              <w:jc w:val="left"/>
            </w:pPr>
            <w:r/>
            <w:r>
              <w:rPr>
                <w:rFonts w:ascii="Arial" w:hAnsi="Arial"/>
                <w:b w:val="0"/>
                <w:i w:val="0"/>
                <w:color w:val="1F2937"/>
                <w:sz w:val="18"/>
              </w:rPr>
              <w:t xml:space="preserve">Metadata-only dry run; no Apex or record writes were in scope.</w:t>
            </w:r>
          </w:p>
        </w:tc>
      </w:tr>
    </w:tbl>
    <w:p>
      <w:pPr>
        <w:spacing w:after="20"/>
      </w:pPr>
    </w:p>
    <w:p>
      <w:pPr>
        <w:pStyle w:val="Heading2"/>
        <w:keepNext/>
      </w:pPr>
      <w:r>
        <w:t xml:space="preserve">2. Exact configuration evidence</w:t>
      </w:r>
    </w:p>
    <w:tbl>
      <w:tblPr>
        <w:tblStyle w:val="TableGrid"/>
        <w:tblW w:type="dxa" w:w="9360"/>
        <w:jc w:val="left"/>
        <w:tblLayout w:type="fixed"/>
        <w:tblLook w:firstColumn="1" w:firstRow="1" w:lastColumn="0" w:lastRow="0" w:noHBand="0" w:noVBand="1" w:val="04A0"/>
        <w:tblInd w:w="120" w:type="dxa"/>
      </w:tblPr>
      <w:tblGrid>
        <w:gridCol w:w="2450"/>
        <w:gridCol w:w="1600"/>
        <w:gridCol w:w="5310"/>
      </w:tblGrid>
      <w:tr>
        <w:trPr>
          <w:tblHeader w:val="true"/>
        </w:trPr>
        <w:tc>
          <w:tcPr>
            <w:tcW w:type="dxa" w:w="2450"/>
            <w:tcMar>
              <w:top w:w="100" w:type="dxa"/>
              <w:start w:w="140" w:type="dxa"/>
              <w:bottom w:w="100" w:type="dxa"/>
              <w:end w:w="140" w:type="dxa"/>
            </w:tcMar>
            <w:vAlign w:val="center"/>
            <w:shd w:fill="F2F4F7"/>
          </w:tcPr>
          <w:p>
            <w:pPr>
              <w:spacing w:before="0" w:after="0" w:line="252" w:lineRule="auto"/>
              <w:jc w:val="left"/>
            </w:pPr>
            <w:r/>
            <w:r>
              <w:rPr>
                <w:rFonts w:ascii="Arial" w:hAnsi="Arial"/>
                <w:b/>
                <w:i w:val="0"/>
                <w:color w:val="0B2545"/>
                <w:sz w:val="19"/>
              </w:rPr>
              <w:t xml:space="preserve">Configuration</w:t>
            </w:r>
          </w:p>
        </w:tc>
        <w:tc>
          <w:tcPr>
            <w:tcW w:type="dxa" w:w="1600"/>
            <w:tcMar>
              <w:top w:w="100" w:type="dxa"/>
              <w:start w:w="140" w:type="dxa"/>
              <w:bottom w:w="100" w:type="dxa"/>
              <w:end w:w="140" w:type="dxa"/>
            </w:tcMar>
            <w:vAlign w:val="center"/>
            <w:shd w:fill="F2F4F7"/>
          </w:tcPr>
          <w:p>
            <w:pPr>
              <w:spacing w:before="0" w:after="0" w:line="252" w:lineRule="auto"/>
              <w:jc w:val="left"/>
            </w:pPr>
            <w:r/>
            <w:r>
              <w:rPr>
                <w:rFonts w:ascii="Arial" w:hAnsi="Arial"/>
                <w:b/>
                <w:i w:val="0"/>
                <w:color w:val="0B2545"/>
                <w:sz w:val="19"/>
              </w:rPr>
              <w:t xml:space="preserve">Result</w:t>
            </w:r>
          </w:p>
        </w:tc>
        <w:tc>
          <w:tcPr>
            <w:tcW w:type="dxa" w:w="5310"/>
            <w:tcMar>
              <w:top w:w="100" w:type="dxa"/>
              <w:start w:w="140" w:type="dxa"/>
              <w:bottom w:w="100" w:type="dxa"/>
              <w:end w:w="140" w:type="dxa"/>
            </w:tcMar>
            <w:vAlign w:val="center"/>
            <w:shd w:fill="F2F4F7"/>
          </w:tcPr>
          <w:p>
            <w:pPr>
              <w:spacing w:before="0" w:after="0" w:line="252" w:lineRule="auto"/>
              <w:jc w:val="left"/>
            </w:pPr>
            <w:r/>
            <w:r>
              <w:rPr>
                <w:rFonts w:ascii="Arial" w:hAnsi="Arial"/>
                <w:b/>
                <w:i w:val="0"/>
                <w:color w:val="0B2545"/>
                <w:sz w:val="19"/>
              </w:rPr>
              <w:t xml:space="preserve">Live evidence</w:t>
            </w:r>
          </w:p>
        </w:tc>
      </w:tr>
      <w:tr>
        <w:tc>
          <w:tcPr>
            <w:tcW w:type="dxa" w:w="2450"/>
          </w:tcPr>
          <w:p>
            <w:pPr>
              <w:spacing w:before="0" w:after="0" w:line="252" w:lineRule="auto"/>
              <w:jc w:val="left"/>
            </w:pPr>
            <w:r/>
            <w:r>
              <w:rPr>
                <w:rFonts w:ascii="Arial" w:hAnsi="Arial"/>
                <w:b w:val="0"/>
                <w:i w:val="0"/>
                <w:color w:val="1F2937"/>
                <w:sz w:val="18"/>
              </w:rPr>
              <w:t xml:space="preserve">Backend indicator</w:t>
            </w:r>
          </w:p>
        </w:tc>
        <w:tc>
          <w:tcPr>
            <w:tcW w:type="dxa" w:w="1600"/>
            <w:shd w:fill="E4F3EE"/>
          </w:tcPr>
          <w:p>
            <w:pPr>
              <w:spacing w:before="0" w:after="0" w:line="252" w:lineRule="auto"/>
              <w:jc w:val="center"/>
            </w:pPr>
            <w:r>
              <w:rPr>
                <w:color w:val="138A72"/>
                <w:b/>
              </w:rPr>
            </w:r>
            <w:r>
              <w:rPr>
                <w:rFonts w:ascii="Arial" w:hAnsi="Arial"/>
                <w:b/>
                <w:i w:val="0"/>
                <w:color w:val="138A72"/>
                <w:sz w:val="19"/>
              </w:rPr>
              <w:t xml:space="preserve">Verified</w:t>
            </w:r>
          </w:p>
        </w:tc>
        <w:tc>
          <w:tcPr>
            <w:tcW w:type="dxa" w:w="5310"/>
          </w:tcPr>
          <w:p>
            <w:pPr>
              <w:spacing w:before="0" w:after="0" w:line="252" w:lineRule="auto"/>
              <w:jc w:val="left"/>
            </w:pPr>
            <w:r/>
            <w:r>
              <w:rPr>
                <w:rFonts w:ascii="Arial" w:hAnsi="Arial"/>
                <w:b w:val="0"/>
                <w:i w:val="0"/>
                <w:color w:val="1F2937"/>
                <w:sz w:val="18"/>
              </w:rPr>
              <w:t xml:space="preserve">Allow Product Ramping is a checkbox, defaults false, and identifies stepped-up groups.</w:t>
            </w:r>
          </w:p>
        </w:tc>
      </w:tr>
      <w:tr>
        <w:tc>
          <w:tcPr>
            <w:tcW w:type="dxa" w:w="2450"/>
          </w:tcPr>
          <w:p>
            <w:pPr>
              <w:spacing w:before="0" w:after="0" w:line="252" w:lineRule="auto"/>
              <w:jc w:val="left"/>
            </w:pPr>
            <w:r/>
            <w:r>
              <w:rPr>
                <w:rFonts w:ascii="Arial" w:hAnsi="Arial"/>
                <w:b w:val="0"/>
                <w:i w:val="0"/>
                <w:color w:val="1F2937"/>
                <w:sz w:val="18"/>
              </w:rPr>
              <w:t xml:space="preserve">Line Editor field set</w:t>
            </w:r>
          </w:p>
        </w:tc>
        <w:tc>
          <w:tcPr>
            <w:tcW w:type="dxa" w:w="1600"/>
            <w:shd w:fill="E4F3EE"/>
          </w:tcPr>
          <w:p>
            <w:pPr>
              <w:spacing w:before="0" w:after="0" w:line="252" w:lineRule="auto"/>
              <w:jc w:val="center"/>
            </w:pPr>
            <w:r>
              <w:rPr>
                <w:color w:val="138A72"/>
                <w:b/>
              </w:rPr>
            </w:r>
            <w:r>
              <w:rPr>
                <w:rFonts w:ascii="Arial" w:hAnsi="Arial"/>
                <w:b/>
                <w:i w:val="0"/>
                <w:color w:val="138A72"/>
                <w:sz w:val="19"/>
              </w:rPr>
              <w:t xml:space="preserve">Verified</w:t>
            </w:r>
          </w:p>
        </w:tc>
        <w:tc>
          <w:tcPr>
            <w:tcW w:type="dxa" w:w="5310"/>
          </w:tcPr>
          <w:p>
            <w:pPr>
              <w:spacing w:before="0" w:after="0" w:line="252" w:lineRule="auto"/>
              <w:jc w:val="left"/>
            </w:pPr>
            <w:r/>
            <w:r>
              <w:rPr>
                <w:rFonts w:ascii="Arial" w:hAnsi="Arial"/>
                <w:b w:val="0"/>
                <w:i w:val="0"/>
                <w:color w:val="1F2937"/>
                <w:sz w:val="18"/>
              </w:rPr>
              <w:t xml:space="preserve">Displayed fields include the indicator, effective dates, and subscription term.</w:t>
            </w:r>
          </w:p>
        </w:tc>
      </w:tr>
      <w:tr>
        <w:tc>
          <w:tcPr>
            <w:tcW w:type="dxa" w:w="2450"/>
          </w:tcPr>
          <w:p>
            <w:pPr>
              <w:spacing w:before="0" w:after="0" w:line="252" w:lineRule="auto"/>
              <w:jc w:val="left"/>
            </w:pPr>
            <w:r/>
            <w:r>
              <w:rPr>
                <w:rFonts w:ascii="Arial" w:hAnsi="Arial"/>
                <w:b w:val="0"/>
                <w:i w:val="0"/>
                <w:color w:val="1F2937"/>
                <w:sz w:val="18"/>
              </w:rPr>
              <w:t xml:space="preserve">Sales permission</w:t>
            </w:r>
          </w:p>
        </w:tc>
        <w:tc>
          <w:tcPr>
            <w:tcW w:type="dxa" w:w="1600"/>
            <w:shd w:fill="E4F3EE"/>
          </w:tcPr>
          <w:p>
            <w:pPr>
              <w:spacing w:before="0" w:after="0" w:line="252" w:lineRule="auto"/>
              <w:jc w:val="center"/>
            </w:pPr>
            <w:r>
              <w:rPr>
                <w:color w:val="138A72"/>
                <w:b/>
              </w:rPr>
            </w:r>
            <w:r>
              <w:rPr>
                <w:rFonts w:ascii="Arial" w:hAnsi="Arial"/>
                <w:b/>
                <w:i w:val="0"/>
                <w:color w:val="138A72"/>
                <w:sz w:val="19"/>
              </w:rPr>
              <w:t xml:space="preserve">Verified</w:t>
            </w:r>
          </w:p>
        </w:tc>
        <w:tc>
          <w:tcPr>
            <w:tcW w:type="dxa" w:w="5310"/>
          </w:tcPr>
          <w:p>
            <w:pPr>
              <w:spacing w:before="0" w:after="0" w:line="252" w:lineRule="auto"/>
              <w:jc w:val="left"/>
            </w:pPr>
            <w:r/>
            <w:r>
              <w:rPr>
                <w:rFonts w:ascii="Arial" w:hAnsi="Arial"/>
                <w:b w:val="0"/>
                <w:i w:val="0"/>
                <w:color w:val="1F2937"/>
                <w:sz w:val="18"/>
              </w:rPr>
              <w:t xml:space="preserve">CPQ Sales Permissions grants both read and edit access to the indicator.</w:t>
            </w:r>
          </w:p>
        </w:tc>
      </w:tr>
    </w:tbl>
    <w:p>
      <w:pPr>
        <w:spacing w:after="20"/>
      </w:pPr>
    </w:p>
    <w:p>
      <w:pPr>
        <w:pStyle w:val="Heading2"/>
        <w:keepNext/>
      </w:pPr>
      <w:r>
        <w:t xml:space="preserve">3. Scope boundaries and follow-ups</w:t>
      </w:r>
    </w:p>
    <w:tbl>
      <w:tblPr>
        <w:tblStyle w:val="TableGrid"/>
        <w:tblW w:type="dxa" w:w="9360"/>
        <w:jc w:val="left"/>
        <w:tblLayout w:type="fixed"/>
        <w:tblLook w:firstColumn="1" w:firstRow="1" w:lastColumn="0" w:lastRow="0" w:noHBand="0" w:noVBand="1" w:val="04A0"/>
        <w:tblInd w:w="120" w:type="dxa"/>
      </w:tblPr>
      <w:tblGrid>
        <w:gridCol w:w="2200"/>
        <w:gridCol w:w="1900"/>
        <w:gridCol w:w="5260"/>
      </w:tblGrid>
      <w:tr>
        <w:trPr>
          <w:tblHeader w:val="true"/>
        </w:trPr>
        <w:tc>
          <w:tcPr>
            <w:tcW w:type="dxa" w:w="2200"/>
            <w:tcMar>
              <w:top w:w="100" w:type="dxa"/>
              <w:start w:w="140" w:type="dxa"/>
              <w:bottom w:w="100" w:type="dxa"/>
              <w:end w:w="140" w:type="dxa"/>
            </w:tcMar>
            <w:vAlign w:val="center"/>
            <w:shd w:fill="F2F4F7"/>
          </w:tcPr>
          <w:p>
            <w:pPr>
              <w:spacing w:before="0" w:after="0" w:line="252" w:lineRule="auto"/>
              <w:jc w:val="left"/>
            </w:pPr>
            <w:r/>
            <w:r>
              <w:rPr>
                <w:rFonts w:ascii="Arial" w:hAnsi="Arial"/>
                <w:b/>
                <w:i w:val="0"/>
                <w:color w:val="0B2545"/>
                <w:sz w:val="19"/>
              </w:rPr>
              <w:t xml:space="preserve">Area</w:t>
            </w:r>
          </w:p>
        </w:tc>
        <w:tc>
          <w:tcPr>
            <w:tcW w:type="dxa" w:w="1900"/>
            <w:tcMar>
              <w:top w:w="100" w:type="dxa"/>
              <w:start w:w="140" w:type="dxa"/>
              <w:bottom w:w="100" w:type="dxa"/>
              <w:end w:w="140" w:type="dxa"/>
            </w:tcMar>
            <w:vAlign w:val="center"/>
            <w:shd w:fill="F2F4F7"/>
          </w:tcPr>
          <w:p>
            <w:pPr>
              <w:spacing w:before="0" w:after="0" w:line="252" w:lineRule="auto"/>
              <w:jc w:val="left"/>
            </w:pPr>
            <w:r/>
            <w:r>
              <w:rPr>
                <w:rFonts w:ascii="Arial" w:hAnsi="Arial"/>
                <w:b/>
                <w:i w:val="0"/>
                <w:color w:val="0B2545"/>
                <w:sz w:val="19"/>
              </w:rPr>
              <w:t xml:space="preserve">Status</w:t>
            </w:r>
          </w:p>
        </w:tc>
        <w:tc>
          <w:tcPr>
            <w:tcW w:type="dxa" w:w="5260"/>
            <w:tcMar>
              <w:top w:w="100" w:type="dxa"/>
              <w:start w:w="140" w:type="dxa"/>
              <w:bottom w:w="100" w:type="dxa"/>
              <w:end w:w="140" w:type="dxa"/>
            </w:tcMar>
            <w:vAlign w:val="center"/>
            <w:shd w:fill="F2F4F7"/>
          </w:tcPr>
          <w:p>
            <w:pPr>
              <w:spacing w:before="0" w:after="0" w:line="252" w:lineRule="auto"/>
              <w:jc w:val="left"/>
            </w:pPr>
            <w:r/>
            <w:r>
              <w:rPr>
                <w:rFonts w:ascii="Arial" w:hAnsi="Arial"/>
                <w:b/>
                <w:i w:val="0"/>
                <w:color w:val="0B2545"/>
                <w:sz w:val="19"/>
              </w:rPr>
              <w:t xml:space="preserve">Evidence / action</w:t>
            </w:r>
          </w:p>
        </w:tc>
      </w:tr>
      <w:tr>
        <w:tc>
          <w:tcPr>
            <w:tcW w:type="dxa" w:w="2200"/>
          </w:tcPr>
          <w:p>
            <w:pPr>
              <w:spacing w:before="0" w:after="0" w:line="252" w:lineRule="auto"/>
              <w:jc w:val="left"/>
            </w:pPr>
            <w:r/>
            <w:r>
              <w:rPr>
                <w:rFonts w:ascii="Arial" w:hAnsi="Arial"/>
                <w:b w:val="0"/>
                <w:i w:val="0"/>
                <w:color w:val="1F2937"/>
                <w:sz w:val="18"/>
              </w:rPr>
              <w:t xml:space="preserve">Current Partial org</w:t>
            </w:r>
          </w:p>
        </w:tc>
        <w:tc>
          <w:tcPr>
            <w:tcW w:type="dxa" w:w="1900"/>
            <w:shd w:fill="E4F3EE"/>
          </w:tcPr>
          <w:p>
            <w:pPr>
              <w:spacing w:before="0" w:after="0" w:line="252" w:lineRule="auto"/>
              <w:jc w:val="center"/>
            </w:pPr>
            <w:r>
              <w:rPr>
                <w:color w:val="138A72"/>
                <w:b/>
              </w:rPr>
            </w:r>
            <w:r>
              <w:rPr>
                <w:rFonts w:ascii="Arial" w:hAnsi="Arial"/>
                <w:b/>
                <w:i w:val="0"/>
                <w:color w:val="138A72"/>
                <w:sz w:val="19"/>
              </w:rPr>
              <w:t xml:space="preserve">Ready</w:t>
            </w:r>
          </w:p>
        </w:tc>
        <w:tc>
          <w:tcPr>
            <w:tcW w:type="dxa" w:w="5260"/>
          </w:tcPr>
          <w:p>
            <w:pPr>
              <w:spacing w:before="0" w:after="0" w:line="252" w:lineRule="auto"/>
              <w:jc w:val="left"/>
            </w:pPr>
            <w:r/>
            <w:r>
              <w:rPr>
                <w:rFonts w:ascii="Arial" w:hAnsi="Arial"/>
                <w:b w:val="0"/>
                <w:i w:val="0"/>
                <w:color w:val="1F2937"/>
                <w:sz w:val="18"/>
              </w:rPr>
              <w:t xml:space="preserve">Field, field-set placement, and permission access are present in the live sandbox.</w:t>
            </w:r>
          </w:p>
        </w:tc>
      </w:tr>
      <w:tr>
        <w:tc>
          <w:tcPr>
            <w:tcW w:type="dxa" w:w="2200"/>
          </w:tcPr>
          <w:p>
            <w:pPr>
              <w:spacing w:before="0" w:after="0" w:line="252" w:lineRule="auto"/>
              <w:jc w:val="left"/>
            </w:pPr>
            <w:r/>
            <w:r>
              <w:rPr>
                <w:rFonts w:ascii="Arial" w:hAnsi="Arial"/>
                <w:b w:val="0"/>
                <w:i w:val="0"/>
                <w:color w:val="1F2937"/>
                <w:sz w:val="18"/>
              </w:rPr>
              <w:t xml:space="preserve">Local source sync</w:t>
            </w:r>
          </w:p>
        </w:tc>
        <w:tc>
          <w:tcPr>
            <w:tcW w:type="dxa" w:w="1900"/>
            <w:shd w:fill="E4F3EE"/>
          </w:tcPr>
          <w:p>
            <w:pPr>
              <w:spacing w:before="0" w:after="0" w:line="252" w:lineRule="auto"/>
              <w:jc w:val="center"/>
            </w:pPr>
            <w:r>
              <w:rPr>
                <w:color w:val="138A72"/>
                <w:b/>
              </w:rPr>
            </w:r>
            <w:r>
              <w:rPr>
                <w:rFonts w:ascii="Arial" w:hAnsi="Arial"/>
                <w:b/>
                <w:i w:val="0"/>
                <w:color w:val="138A72"/>
                <w:sz w:val="19"/>
              </w:rPr>
              <w:t xml:space="preserve">Completed</w:t>
            </w:r>
          </w:p>
        </w:tc>
        <w:tc>
          <w:tcPr>
            <w:tcW w:type="dxa" w:w="5260"/>
          </w:tcPr>
          <w:p>
            <w:pPr>
              <w:spacing w:before="0" w:after="0" w:line="252" w:lineRule="auto"/>
              <w:jc w:val="left"/>
            </w:pPr>
            <w:r/>
            <w:r>
              <w:rPr>
                <w:rFonts w:ascii="Arial" w:hAnsi="Arial"/>
                <w:b w:val="0"/>
                <w:i w:val="0"/>
                <w:color w:val="1F2937"/>
                <w:sz w:val="18"/>
              </w:rPr>
              <w:t xml:space="preserve">The missing SBQQ__LineEditor metadata was added locally and exactly matches the live retrieval.</w:t>
            </w:r>
          </w:p>
        </w:tc>
      </w:tr>
      <w:tr>
        <w:tc>
          <w:tcPr>
            <w:tcW w:type="dxa" w:w="2200"/>
          </w:tcPr>
          <w:p>
            <w:pPr>
              <w:spacing w:before="0" w:after="0" w:line="252" w:lineRule="auto"/>
              <w:jc w:val="left"/>
            </w:pPr>
            <w:r/>
            <w:r>
              <w:rPr>
                <w:rFonts w:ascii="Arial" w:hAnsi="Arial"/>
                <w:b w:val="0"/>
                <w:i w:val="0"/>
                <w:color w:val="1F2937"/>
                <w:sz w:val="18"/>
              </w:rPr>
              <w:t xml:space="preserve">Duplicate matrix</w:t>
            </w:r>
          </w:p>
        </w:tc>
        <w:tc>
          <w:tcPr>
            <w:tcW w:type="dxa" w:w="1900"/>
            <w:shd w:fill="FFF4D6"/>
          </w:tcPr>
          <w:p>
            <w:pPr>
              <w:spacing w:before="0" w:after="0" w:line="252" w:lineRule="auto"/>
              <w:jc w:val="center"/>
            </w:pPr>
            <w:r>
              <w:rPr>
                <w:color w:val="B7791F"/>
                <w:b/>
              </w:rPr>
            </w:r>
            <w:r>
              <w:rPr>
                <w:rFonts w:ascii="Arial" w:hAnsi="Arial"/>
                <w:b/>
                <w:i w:val="0"/>
                <w:color w:val="B7791F"/>
                <w:sz w:val="19"/>
              </w:rPr>
              <w:t xml:space="preserve">Linked</w:t>
            </w:r>
          </w:p>
        </w:tc>
        <w:tc>
          <w:tcPr>
            <w:tcW w:type="dxa" w:w="5260"/>
          </w:tcPr>
          <w:p>
            <w:pPr>
              <w:spacing w:before="0" w:after="0" w:line="252" w:lineRule="auto"/>
              <w:jc w:val="left"/>
            </w:pPr>
            <w:r/>
            <w:r>
              <w:rPr>
                <w:rFonts w:ascii="Arial" w:hAnsi="Arial"/>
                <w:b w:val="0"/>
                <w:i w:val="0"/>
                <w:color w:val="1F2937"/>
                <w:sz w:val="18"/>
              </w:rPr>
              <w:t xml:space="preserve">SALDEV-1404 owns detailed New Business, Amendment, and Renewal duplicate validation.</w:t>
            </w:r>
          </w:p>
        </w:tc>
      </w:tr>
      <w:tr>
        <w:tc>
          <w:tcPr>
            <w:tcW w:type="dxa" w:w="2200"/>
          </w:tcPr>
          <w:p>
            <w:pPr>
              <w:spacing w:before="0" w:after="0" w:line="252" w:lineRule="auto"/>
              <w:jc w:val="left"/>
            </w:pPr>
            <w:r/>
            <w:r>
              <w:rPr>
                <w:rFonts w:ascii="Arial" w:hAnsi="Arial"/>
                <w:b w:val="0"/>
                <w:i w:val="0"/>
                <w:color w:val="1F2937"/>
                <w:sz w:val="18"/>
              </w:rPr>
              <w:t xml:space="preserve">Clone observations</w:t>
            </w:r>
          </w:p>
        </w:tc>
        <w:tc>
          <w:tcPr>
            <w:tcW w:type="dxa" w:w="1900"/>
            <w:shd w:fill="FFF4D6"/>
          </w:tcPr>
          <w:p>
            <w:pPr>
              <w:spacing w:before="0" w:after="0" w:line="252" w:lineRule="auto"/>
              <w:jc w:val="center"/>
            </w:pPr>
            <w:r>
              <w:rPr>
                <w:color w:val="B7791F"/>
                <w:b/>
              </w:rPr>
            </w:r>
            <w:r>
              <w:rPr>
                <w:rFonts w:ascii="Arial" w:hAnsi="Arial"/>
                <w:b/>
                <w:i w:val="0"/>
                <w:color w:val="B7791F"/>
                <w:sz w:val="19"/>
              </w:rPr>
              <w:t xml:space="preserve">Separate</w:t>
            </w:r>
          </w:p>
        </w:tc>
        <w:tc>
          <w:tcPr>
            <w:tcW w:type="dxa" w:w="5260"/>
          </w:tcPr>
          <w:p>
            <w:pPr>
              <w:spacing w:before="0" w:after="0" w:line="252" w:lineRule="auto"/>
              <w:jc w:val="left"/>
            </w:pPr>
            <w:r/>
            <w:r>
              <w:rPr>
                <w:rFonts w:ascii="Arial" w:hAnsi="Arial"/>
                <w:b w:val="0"/>
                <w:i w:val="0"/>
                <w:color w:val="1F2937"/>
                <w:sz w:val="18"/>
              </w:rPr>
              <w:t xml:space="preserve">One-time fee carry-over and no automatic later-group product roll-down should be tracked separately.</w:t>
            </w:r>
          </w:p>
        </w:tc>
      </w:tr>
      <w:tr>
        <w:tc>
          <w:tcPr>
            <w:tcW w:type="dxa" w:w="2200"/>
          </w:tcPr>
          <w:p>
            <w:pPr>
              <w:spacing w:before="0" w:after="0" w:line="252" w:lineRule="auto"/>
              <w:jc w:val="left"/>
            </w:pPr>
            <w:r/>
            <w:r>
              <w:rPr>
                <w:rFonts w:ascii="Arial" w:hAnsi="Arial"/>
                <w:b w:val="0"/>
                <w:i w:val="0"/>
                <w:color w:val="1F2937"/>
                <w:sz w:val="18"/>
              </w:rPr>
              <w:t xml:space="preserve">Promotion target</w:t>
            </w:r>
          </w:p>
        </w:tc>
        <w:tc>
          <w:tcPr>
            <w:tcW w:type="dxa" w:w="1900"/>
            <w:shd w:fill="FFF4D6"/>
          </w:tcPr>
          <w:p>
            <w:pPr>
              <w:spacing w:before="0" w:after="0" w:line="252" w:lineRule="auto"/>
              <w:jc w:val="center"/>
            </w:pPr>
            <w:r>
              <w:rPr>
                <w:color w:val="B7791F"/>
                <w:b/>
              </w:rPr>
            </w:r>
            <w:r>
              <w:rPr>
                <w:rFonts w:ascii="Arial" w:hAnsi="Arial"/>
                <w:b/>
                <w:i w:val="0"/>
                <w:color w:val="B7791F"/>
                <w:sz w:val="19"/>
              </w:rPr>
              <w:t xml:space="preserve">Not assessed</w:t>
            </w:r>
          </w:p>
        </w:tc>
        <w:tc>
          <w:tcPr>
            <w:tcW w:type="dxa" w:w="5260"/>
          </w:tcPr>
          <w:p>
            <w:pPr>
              <w:spacing w:before="0" w:after="0" w:line="252" w:lineRule="auto"/>
              <w:jc w:val="left"/>
            </w:pPr>
            <w:r/>
            <w:r>
              <w:rPr>
                <w:rFonts w:ascii="Arial" w:hAnsi="Arial"/>
                <w:b w:val="0"/>
                <w:i w:val="0"/>
                <w:color w:val="1F2937"/>
                <w:sz w:val="18"/>
              </w:rPr>
              <w:t xml:space="preserve">No destination org was supplied; repeat the scoped retrieve and check-only validation before promotion.</w:t>
            </w:r>
          </w:p>
        </w:tc>
      </w:tr>
    </w:tbl>
    <w:p>
      <w:pPr>
        <w:spacing w:after="20"/>
      </w:pPr>
    </w:p>
    <w:p>
      <w:r>
        <w:br w:type="page"/>
      </w:r>
    </w:p>
    <w:p>
      <w:pPr>
        <w:pStyle w:val="Heading1"/>
        <w:keepNext/>
      </w:pPr>
      <w:r>
        <w:t xml:space="preserve">Quote group classification architecture</w:t>
      </w:r>
    </w:p>
    <w:p>
      <w:pPr>
        <w:spacing w:after="120" w:line="264" w:lineRule="auto"/>
      </w:pPr>
      <w:r>
        <w:rPr>
          <w:rFonts w:ascii="Arial" w:hAnsi="Arial"/>
          <w:b w:val="0"/>
          <w:i w:val="0"/>
          <w:color w:val="1F2937"/>
          <w:sz w:val="22"/>
        </w:rPr>
        <w:t xml:space="preserve">The user-visible checkbox selects the group use case while the shared field set and permission set expose the control consistently in the Quote Line Editor.</w:t>
      </w:r>
    </w:p>
    <w:p>
      <w:pPr>
        <w:keepNext/>
        <w:jc w:val="center"/>
      </w:pPr>
      <w:r>
        <w:drawing>
          <wp:inline xmlns:a="http://schemas.openxmlformats.org/drawingml/2006/main" xmlns:pic="http://schemas.openxmlformats.org/drawingml/2006/picture">
            <wp:extent cx="5897880" cy="4054792"/>
            <wp:docPr id="2" name="Picture 2" title="Figure 2. SCC-3385 Work Order creation and dependency model" descr="Architecture diagram relating Trouble Ticket Case prerequisites, the Create Work Order Flow, WorkOrder fields, Case activity logging, duplicate prevention, WorkOrder layouts, and the preserved Book Appointment action. Blockers are shown in red or amber."/>
            <wp:cNvGraphicFramePr>
              <a:graphicFrameLocks noChangeAspect="1"/>
            </wp:cNvGraphicFramePr>
            <a:graphic>
              <a:graphicData uri="http://schemas.openxmlformats.org/drawingml/2006/picture">
                <pic:pic>
                  <pic:nvPicPr>
                    <pic:cNvPr id="0" name="scc3385-work-order-model.png"/>
                    <pic:cNvPicPr/>
                  </pic:nvPicPr>
                  <pic:blipFill>
                    <a:blip r:embed="rId18"/>
                    <a:stretch>
                      <a:fillRect/>
                    </a:stretch>
                  </pic:blipFill>
                  <pic:spPr>
                    <a:xfrm>
                      <a:off x="0" y="0"/>
                      <a:ext cx="5897880" cy="4054792"/>
                    </a:xfrm>
                    <a:prstGeom prst="rect"/>
                  </pic:spPr>
                </pic:pic>
              </a:graphicData>
            </a:graphic>
          </wp:inline>
        </w:drawing>
      </w:r>
    </w:p>
    <w:p>
      <w:pPr>
        <w:keepNext/>
        <w:spacing w:before="40" w:after="160"/>
        <w:jc w:val="center"/>
      </w:pPr>
      <w:r>
        <w:rPr>
          <w:rFonts w:ascii="Arial" w:hAnsi="Arial"/>
          <w:b w:val="0"/>
          <w:i/>
          <w:color w:val="5B6777"/>
          <w:sz w:val="18"/>
        </w:rPr>
        <w:t xml:space="preserve">Figure 2. SALDEV-1440 quote group classification and control model</w:t>
      </w:r>
    </w:p>
    <w:p>
      <w:pPr>
        <w:spacing w:after="120" w:line="264" w:lineRule="auto"/>
      </w:pPr>
      <w:r>
        <w:rPr>
          <w:rFonts w:ascii="Arial" w:hAnsi="Arial"/>
          <w:b/>
          <w:i w:val="0"/>
          <w:color w:val="1F2937"/>
          <w:sz w:val="22"/>
        </w:rPr>
        <w:t xml:space="preserve">Architect interpretation:</w:t>
      </w:r>
      <w:r>
        <w:rPr>
          <w:rFonts w:ascii="Arial" w:hAnsi="Arial"/>
          <w:b w:val="0"/>
          <w:i w:val="0"/>
          <w:color w:val="1F2937"/>
          <w:sz w:val="22"/>
        </w:rPr>
        <w:t xml:space="preserve"> the classification control is fully exposed in Partial. Ramped and standard paths share the same QLE and permission foundation, while deeper duplicate behavior remains linked to SALDEV-1404.</w:t>
      </w:r>
    </w:p>
    <w:p>
      <w:r>
        <w:br w:type="page"/>
      </w:r>
    </w:p>
    <w:p>
      <w:pPr>
        <w:pStyle w:val="Heading1"/>
        <w:keepNext/>
      </w:pPr>
      <w:r>
        <w:t xml:space="preserve">Required handoff gates</w:t>
      </w:r>
    </w:p>
    <w:tbl>
      <w:tblPr>
        <w:tblStyle w:val="TableGrid"/>
        <w:tblW w:type="dxa" w:w="9360"/>
        <w:jc w:val="left"/>
        <w:tblLayout w:type="fixed"/>
        <w:tblLook w:firstColumn="1" w:firstRow="1" w:lastColumn="0" w:lastRow="0" w:noHBand="0" w:noVBand="1" w:val="04A0"/>
        <w:tblInd w:w="120" w:type="dxa"/>
      </w:tblPr>
      <w:tblGrid>
        <w:gridCol w:w="850"/>
        <w:gridCol w:w="2500"/>
        <w:gridCol w:w="2000"/>
        <w:gridCol w:w="4010"/>
      </w:tblGrid>
      <w:tr>
        <w:trPr>
          <w:tblHeader w:val="true"/>
        </w:trPr>
        <w:tc>
          <w:tcPr>
            <w:tcW w:type="dxa" w:w="850"/>
            <w:tcMar>
              <w:top w:w="100" w:type="dxa"/>
              <w:start w:w="140" w:type="dxa"/>
              <w:bottom w:w="100" w:type="dxa"/>
              <w:end w:w="140" w:type="dxa"/>
            </w:tcMar>
            <w:vAlign w:val="center"/>
            <w:shd w:fill="F2F4F7"/>
          </w:tcPr>
          <w:p>
            <w:pPr>
              <w:spacing w:before="0" w:after="0" w:line="252" w:lineRule="auto"/>
              <w:jc w:val="left"/>
            </w:pPr>
            <w:r/>
            <w:r>
              <w:rPr>
                <w:rFonts w:ascii="Arial" w:hAnsi="Arial"/>
                <w:b/>
                <w:i w:val="0"/>
                <w:color w:val="0B2545"/>
                <w:sz w:val="19"/>
              </w:rPr>
              <w:t>Gate</w:t>
            </w:r>
          </w:p>
        </w:tc>
        <w:tc>
          <w:tcPr>
            <w:tcW w:type="dxa" w:w="2500"/>
            <w:tcMar>
              <w:top w:w="100" w:type="dxa"/>
              <w:start w:w="140" w:type="dxa"/>
              <w:bottom w:w="100" w:type="dxa"/>
              <w:end w:w="140" w:type="dxa"/>
            </w:tcMar>
            <w:vAlign w:val="center"/>
            <w:shd w:fill="F2F4F7"/>
          </w:tcPr>
          <w:p>
            <w:pPr>
              <w:spacing w:before="0" w:after="0" w:line="252" w:lineRule="auto"/>
              <w:jc w:val="left"/>
            </w:pPr>
            <w:r/>
            <w:r>
              <w:rPr>
                <w:rFonts w:ascii="Arial" w:hAnsi="Arial"/>
                <w:b/>
                <w:i w:val="0"/>
                <w:color w:val="0B2545"/>
                <w:sz w:val="19"/>
              </w:rPr>
              <w:t>Required action</w:t>
            </w:r>
          </w:p>
        </w:tc>
        <w:tc>
          <w:tcPr>
            <w:tcW w:type="dxa" w:w="2000"/>
            <w:tcMar>
              <w:top w:w="100" w:type="dxa"/>
              <w:start w:w="140" w:type="dxa"/>
              <w:bottom w:w="100" w:type="dxa"/>
              <w:end w:w="140" w:type="dxa"/>
            </w:tcMar>
            <w:vAlign w:val="center"/>
            <w:shd w:fill="F2F4F7"/>
          </w:tcPr>
          <w:p>
            <w:pPr>
              <w:spacing w:before="0" w:after="0" w:line="252" w:lineRule="auto"/>
              <w:jc w:val="left"/>
            </w:pPr>
            <w:r/>
            <w:r>
              <w:rPr>
                <w:rFonts w:ascii="Arial" w:hAnsi="Arial"/>
                <w:b/>
                <w:i w:val="0"/>
                <w:color w:val="0B2545"/>
                <w:sz w:val="19"/>
              </w:rPr>
              <w:t>Owner</w:t>
            </w:r>
          </w:p>
        </w:tc>
        <w:tc>
          <w:tcPr>
            <w:tcW w:type="dxa" w:w="4010"/>
            <w:tcMar>
              <w:top w:w="100" w:type="dxa"/>
              <w:start w:w="140" w:type="dxa"/>
              <w:bottom w:w="100" w:type="dxa"/>
              <w:end w:w="140" w:type="dxa"/>
            </w:tcMar>
            <w:vAlign w:val="center"/>
            <w:shd w:fill="F2F4F7"/>
          </w:tcPr>
          <w:p>
            <w:pPr>
              <w:spacing w:before="0" w:after="0" w:line="252" w:lineRule="auto"/>
              <w:jc w:val="left"/>
            </w:pPr>
            <w:r/>
            <w:r>
              <w:rPr>
                <w:rFonts w:ascii="Arial" w:hAnsi="Arial"/>
                <w:b/>
                <w:i w:val="0"/>
                <w:color w:val="0B2545"/>
                <w:sz w:val="19"/>
              </w:rPr>
              <w:t>Evidence needed</w:t>
            </w:r>
          </w:p>
        </w:tc>
      </w:tr>
      <w:tr>
        <w:tc>
          <w:tcPr>
            <w:tcW w:type="dxa" w:w="850"/>
          </w:tcPr>
          <w:p>
            <w:pPr>
              <w:spacing w:before="0" w:after="0" w:line="252" w:lineRule="auto"/>
              <w:jc w:val="left"/>
            </w:pPr>
            <w:r/>
            <w:r>
              <w:rPr>
                <w:rFonts w:ascii="Arial" w:hAnsi="Arial"/>
                <w:b w:val="0"/>
                <w:i w:val="0"/>
                <w:color w:val="1F2937"/>
                <w:sz w:val="18"/>
              </w:rPr>
              <w:t>1</w:t>
            </w:r>
          </w:p>
        </w:tc>
        <w:tc>
          <w:tcPr>
            <w:tcW w:type="dxa" w:w="2500"/>
          </w:tcPr>
          <w:p>
            <w:pPr>
              <w:spacing w:before="0" w:after="0" w:line="252" w:lineRule="auto"/>
              <w:jc w:val="left"/>
            </w:pPr>
            <w:r/>
            <w:r>
              <w:rPr>
                <w:rFonts w:ascii="Arial" w:hAnsi="Arial"/>
                <w:b w:val="0"/>
                <w:i w:val="0"/>
                <w:color w:val="1F2937"/>
                <w:sz w:val="18"/>
              </w:rPr>
              <w:t xml:space="preserve">Close SALDEV-1440 in Partial</w:t>
            </w:r>
          </w:p>
        </w:tc>
        <w:tc>
          <w:tcPr>
            <w:tcW w:type="dxa" w:w="2000"/>
          </w:tcPr>
          <w:p>
            <w:pPr>
              <w:spacing w:before="0" w:after="0" w:line="252" w:lineRule="auto"/>
              <w:jc w:val="left"/>
            </w:pPr>
            <w:r/>
            <w:r>
              <w:rPr>
                <w:rFonts w:ascii="Arial" w:hAnsi="Arial"/>
                <w:b w:val="0"/>
                <w:i w:val="0"/>
                <w:color w:val="1F2937"/>
                <w:sz w:val="18"/>
              </w:rPr>
              <w:t xml:space="preserve">Product owner</w:t>
            </w:r>
          </w:p>
        </w:tc>
        <w:tc>
          <w:tcPr>
            <w:tcW w:type="dxa" w:w="4010"/>
          </w:tcPr>
          <w:p>
            <w:pPr>
              <w:spacing w:before="0" w:after="0" w:line="252" w:lineRule="auto"/>
              <w:jc w:val="left"/>
            </w:pPr>
            <w:r/>
            <w:r>
              <w:rPr>
                <w:rFonts w:ascii="Arial" w:hAnsi="Arial"/>
                <w:b w:val="0"/>
                <w:i w:val="0"/>
                <w:color w:val="1F2937"/>
                <w:sz w:val="18"/>
              </w:rPr>
              <w:t xml:space="preserve">Attach the architect response and move the story from Unresolved after approval.</w:t>
            </w:r>
          </w:p>
        </w:tc>
      </w:tr>
      <w:tr>
        <w:tc>
          <w:tcPr>
            <w:tcW w:type="dxa" w:w="850"/>
          </w:tcPr>
          <w:p>
            <w:pPr>
              <w:spacing w:before="0" w:after="0" w:line="252" w:lineRule="auto"/>
              <w:jc w:val="left"/>
            </w:pPr>
            <w:r/>
            <w:r>
              <w:rPr>
                <w:rFonts w:ascii="Arial" w:hAnsi="Arial"/>
                <w:b w:val="0"/>
                <w:i w:val="0"/>
                <w:color w:val="1F2937"/>
                <w:sz w:val="18"/>
              </w:rPr>
              <w:t>2</w:t>
            </w:r>
          </w:p>
        </w:tc>
        <w:tc>
          <w:tcPr>
            <w:tcW w:type="dxa" w:w="2500"/>
          </w:tcPr>
          <w:p>
            <w:pPr>
              <w:spacing w:before="0" w:after="0" w:line="252" w:lineRule="auto"/>
              <w:jc w:val="left"/>
            </w:pPr>
            <w:r/>
            <w:r>
              <w:rPr>
                <w:rFonts w:ascii="Arial" w:hAnsi="Arial"/>
                <w:b w:val="0"/>
                <w:i w:val="0"/>
                <w:color w:val="1F2937"/>
                <w:sz w:val="18"/>
              </w:rPr>
              <w:t xml:space="preserve">Maintain SALDEV-1404 linkage</w:t>
            </w:r>
          </w:p>
        </w:tc>
        <w:tc>
          <w:tcPr>
            <w:tcW w:type="dxa" w:w="2000"/>
          </w:tcPr>
          <w:p>
            <w:pPr>
              <w:spacing w:before="0" w:after="0" w:line="252" w:lineRule="auto"/>
              <w:jc w:val="left"/>
            </w:pPr>
            <w:r/>
            <w:r>
              <w:rPr>
                <w:rFonts w:ascii="Arial" w:hAnsi="Arial"/>
                <w:b w:val="0"/>
                <w:i w:val="0"/>
                <w:color w:val="1F2937"/>
                <w:sz w:val="18"/>
              </w:rPr>
              <w:t xml:space="preserve">QA / Developer</w:t>
            </w:r>
          </w:p>
        </w:tc>
        <w:tc>
          <w:tcPr>
            <w:tcW w:type="dxa" w:w="4010"/>
          </w:tcPr>
          <w:p>
            <w:pPr>
              <w:spacing w:before="0" w:after="0" w:line="252" w:lineRule="auto"/>
              <w:jc w:val="left"/>
            </w:pPr>
            <w:r/>
            <w:r>
              <w:rPr>
                <w:rFonts w:ascii="Arial" w:hAnsi="Arial"/>
                <w:b w:val="0"/>
                <w:i w:val="0"/>
                <w:color w:val="1F2937"/>
                <w:sz w:val="18"/>
              </w:rPr>
              <w:t xml:space="preserve">Complete the duplicate matrix for New Business, Amendment, and Renewal.</w:t>
            </w:r>
          </w:p>
        </w:tc>
      </w:tr>
      <w:tr>
        <w:tc>
          <w:tcPr>
            <w:tcW w:type="dxa" w:w="850"/>
          </w:tcPr>
          <w:p>
            <w:pPr>
              <w:spacing w:before="0" w:after="0" w:line="252" w:lineRule="auto"/>
              <w:jc w:val="left"/>
            </w:pPr>
            <w:r/>
            <w:r>
              <w:rPr>
                <w:rFonts w:ascii="Arial" w:hAnsi="Arial"/>
                <w:b w:val="0"/>
                <w:i w:val="0"/>
                <w:color w:val="1F2937"/>
                <w:sz w:val="18"/>
              </w:rPr>
              <w:t>3</w:t>
            </w:r>
          </w:p>
        </w:tc>
        <w:tc>
          <w:tcPr>
            <w:tcW w:type="dxa" w:w="2500"/>
          </w:tcPr>
          <w:p>
            <w:pPr>
              <w:spacing w:before="0" w:after="0" w:line="252" w:lineRule="auto"/>
              <w:jc w:val="left"/>
            </w:pPr>
            <w:r/>
            <w:r>
              <w:rPr>
                <w:rFonts w:ascii="Arial" w:hAnsi="Arial"/>
                <w:b w:val="0"/>
                <w:i w:val="0"/>
                <w:color w:val="1F2937"/>
                <w:sz w:val="18"/>
              </w:rPr>
              <w:t xml:space="preserve">Log cloning observations</w:t>
            </w:r>
          </w:p>
        </w:tc>
        <w:tc>
          <w:tcPr>
            <w:tcW w:type="dxa" w:w="2000"/>
          </w:tcPr>
          <w:p>
            <w:pPr>
              <w:spacing w:before="0" w:after="0" w:line="252" w:lineRule="auto"/>
              <w:jc w:val="left"/>
            </w:pPr>
            <w:r/>
            <w:r>
              <w:rPr>
                <w:rFonts w:ascii="Arial" w:hAnsi="Arial"/>
                <w:b w:val="0"/>
                <w:i w:val="0"/>
                <w:color w:val="1F2937"/>
                <w:sz w:val="18"/>
              </w:rPr>
              <w:t xml:space="preserve">Product owner</w:t>
            </w:r>
          </w:p>
        </w:tc>
        <w:tc>
          <w:tcPr>
            <w:tcW w:type="dxa" w:w="4010"/>
          </w:tcPr>
          <w:p>
            <w:pPr>
              <w:spacing w:before="0" w:after="0" w:line="252" w:lineRule="auto"/>
              <w:jc w:val="left"/>
            </w:pPr>
            <w:r/>
            <w:r>
              <w:rPr>
                <w:rFonts w:ascii="Arial" w:hAnsi="Arial"/>
                <w:b w:val="0"/>
                <w:i w:val="0"/>
                <w:color w:val="1F2937"/>
                <w:sz w:val="18"/>
              </w:rPr>
              <w:t xml:space="preserve">Track one-time fee carry-over and later-group product roll-down outside this story.</w:t>
            </w:r>
          </w:p>
        </w:tc>
      </w:tr>
      <w:tr>
        <w:tc>
          <w:tcPr>
            <w:tcW w:type="dxa" w:w="850"/>
          </w:tcPr>
          <w:p>
            <w:pPr>
              <w:spacing w:before="0" w:after="0" w:line="252" w:lineRule="auto"/>
              <w:jc w:val="left"/>
            </w:pPr>
            <w:r/>
            <w:r>
              <w:rPr>
                <w:rFonts w:ascii="Arial" w:hAnsi="Arial"/>
                <w:b w:val="0"/>
                <w:i w:val="0"/>
                <w:color w:val="1F2937"/>
                <w:sz w:val="18"/>
              </w:rPr>
              <w:t>4</w:t>
            </w:r>
          </w:p>
        </w:tc>
        <w:tc>
          <w:tcPr>
            <w:tcW w:type="dxa" w:w="2500"/>
          </w:tcPr>
          <w:p>
            <w:pPr>
              <w:spacing w:before="0" w:after="0" w:line="252" w:lineRule="auto"/>
              <w:jc w:val="left"/>
            </w:pPr>
            <w:r/>
            <w:r>
              <w:rPr>
                <w:rFonts w:ascii="Arial" w:hAnsi="Arial"/>
                <w:b w:val="0"/>
                <w:i w:val="0"/>
                <w:color w:val="1F2937"/>
                <w:sz w:val="18"/>
              </w:rPr>
              <w:t xml:space="preserve">Promote scoped metadata</w:t>
            </w:r>
          </w:p>
        </w:tc>
        <w:tc>
          <w:tcPr>
            <w:tcW w:type="dxa" w:w="2000"/>
          </w:tcPr>
          <w:p>
            <w:pPr>
              <w:spacing w:before="0" w:after="0" w:line="252" w:lineRule="auto"/>
              <w:jc w:val="left"/>
            </w:pPr>
            <w:r/>
            <w:r>
              <w:rPr>
                <w:rFonts w:ascii="Arial" w:hAnsi="Arial"/>
                <w:b w:val="0"/>
                <w:i w:val="0"/>
                <w:color w:val="1F2937"/>
                <w:sz w:val="18"/>
              </w:rPr>
              <w:t xml:space="preserve">Release manager</w:t>
            </w:r>
          </w:p>
        </w:tc>
        <w:tc>
          <w:tcPr>
            <w:tcW w:type="dxa" w:w="4010"/>
          </w:tcPr>
          <w:p>
            <w:pPr>
              <w:spacing w:before="0" w:after="0" w:line="252" w:lineRule="auto"/>
              <w:jc w:val="left"/>
            </w:pPr>
            <w:r/>
            <w:r>
              <w:rPr>
                <w:rFonts w:ascii="Arial" w:hAnsi="Arial"/>
                <w:b w:val="0"/>
                <w:i w:val="0"/>
                <w:color w:val="1F2937"/>
                <w:sz w:val="18"/>
              </w:rPr>
              <w:t xml:space="preserve">Include the checkbox field, Line Editor field set, and CPQ Sales Permissions only.</w:t>
            </w:r>
          </w:p>
        </w:tc>
      </w:tr>
      <w:tr>
        <w:tc>
          <w:tcPr>
            <w:tcW w:type="dxa" w:w="850"/>
          </w:tcPr>
          <w:p>
            <w:pPr>
              <w:spacing w:before="0" w:after="0" w:line="252" w:lineRule="auto"/>
              <w:jc w:val="left"/>
            </w:pPr>
            <w:r/>
            <w:r>
              <w:rPr>
                <w:rFonts w:ascii="Arial" w:hAnsi="Arial"/>
                <w:b w:val="0"/>
                <w:i w:val="0"/>
                <w:color w:val="1F2937"/>
                <w:sz w:val="18"/>
              </w:rPr>
              <w:t>5</w:t>
            </w:r>
          </w:p>
        </w:tc>
        <w:tc>
          <w:tcPr>
            <w:tcW w:type="dxa" w:w="2500"/>
          </w:tcPr>
          <w:p>
            <w:pPr>
              <w:spacing w:before="0" w:after="0" w:line="252" w:lineRule="auto"/>
              <w:jc w:val="left"/>
            </w:pPr>
            <w:r/>
            <w:r>
              <w:rPr>
                <w:rFonts w:ascii="Arial" w:hAnsi="Arial"/>
                <w:b w:val="0"/>
                <w:i w:val="0"/>
                <w:color w:val="1F2937"/>
                <w:sz w:val="18"/>
              </w:rPr>
              <w:t xml:space="preserve">Validate destination org</w:t>
            </w:r>
          </w:p>
        </w:tc>
        <w:tc>
          <w:tcPr>
            <w:tcW w:type="dxa" w:w="2000"/>
          </w:tcPr>
          <w:p>
            <w:pPr>
              <w:spacing w:before="0" w:after="0" w:line="252" w:lineRule="auto"/>
              <w:jc w:val="left"/>
            </w:pPr>
            <w:r/>
            <w:r>
              <w:rPr>
                <w:rFonts w:ascii="Arial" w:hAnsi="Arial"/>
                <w:b w:val="0"/>
                <w:i w:val="0"/>
                <w:color w:val="1F2937"/>
                <w:sz w:val="18"/>
              </w:rPr>
              <w:t xml:space="preserve">Release manager</w:t>
            </w:r>
          </w:p>
        </w:tc>
        <w:tc>
          <w:tcPr>
            <w:tcW w:type="dxa" w:w="4010"/>
          </w:tcPr>
          <w:p>
            <w:pPr>
              <w:spacing w:before="0" w:after="0" w:line="252" w:lineRule="auto"/>
              <w:jc w:val="left"/>
            </w:pPr>
            <w:r/>
            <w:r>
              <w:rPr>
                <w:rFonts w:ascii="Arial" w:hAnsi="Arial"/>
                <w:b w:val="0"/>
                <w:i w:val="0"/>
                <w:color w:val="1F2937"/>
                <w:sz w:val="18"/>
              </w:rPr>
              <w:t xml:space="preserve">Require a clean three-component check-only result before deployment approval.</w:t>
            </w:r>
          </w:p>
        </w:tc>
      </w:tr>
      <w:tr>
        <w:tc>
          <w:tcPr>
            <w:tcW w:type="dxa" w:w="850"/>
          </w:tcPr>
          <w:p>
            <w:pPr>
              <w:spacing w:before="0" w:after="0" w:line="252" w:lineRule="auto"/>
              <w:jc w:val="left"/>
            </w:pPr>
            <w:r/>
            <w:r>
              <w:rPr>
                <w:rFonts w:ascii="Arial" w:hAnsi="Arial"/>
                <w:b w:val="0"/>
                <w:i w:val="0"/>
                <w:color w:val="1F2937"/>
                <w:sz w:val="18"/>
              </w:rPr>
              <w:t>6</w:t>
            </w:r>
          </w:p>
        </w:tc>
        <w:tc>
          <w:tcPr>
            <w:tcW w:type="dxa" w:w="2500"/>
          </w:tcPr>
          <w:p>
            <w:pPr>
              <w:spacing w:before="0" w:after="0" w:line="252" w:lineRule="auto"/>
              <w:jc w:val="left"/>
            </w:pPr>
            <w:r/>
            <w:r>
              <w:rPr>
                <w:rFonts w:ascii="Arial" w:hAnsi="Arial"/>
                <w:b w:val="0"/>
                <w:i w:val="0"/>
                <w:color w:val="1F2937"/>
                <w:sz w:val="18"/>
              </w:rPr>
              <w:t xml:space="preserve">Execute business smoke test</w:t>
            </w:r>
          </w:p>
        </w:tc>
        <w:tc>
          <w:tcPr>
            <w:tcW w:type="dxa" w:w="2000"/>
          </w:tcPr>
          <w:p>
            <w:pPr>
              <w:spacing w:before="0" w:after="0" w:line="252" w:lineRule="auto"/>
              <w:jc w:val="left"/>
            </w:pPr>
            <w:r/>
            <w:r>
              <w:rPr>
                <w:rFonts w:ascii="Arial" w:hAnsi="Arial"/>
                <w:b w:val="0"/>
                <w:i w:val="0"/>
                <w:color w:val="1F2937"/>
                <w:sz w:val="18"/>
              </w:rPr>
              <w:t xml:space="preserve">Sales Ops / QA</w:t>
            </w:r>
          </w:p>
        </w:tc>
        <w:tc>
          <w:tcPr>
            <w:tcW w:type="dxa" w:w="4010"/>
          </w:tcPr>
          <w:p>
            <w:pPr>
              <w:spacing w:before="0" w:after="0" w:line="252" w:lineRule="auto"/>
              <w:jc w:val="left"/>
            </w:pPr>
            <w:r/>
            <w:r>
              <w:rPr>
                <w:rFonts w:ascii="Arial" w:hAnsi="Arial"/>
                <w:b w:val="0"/>
                <w:i w:val="0"/>
                <w:color w:val="1F2937"/>
                <w:sz w:val="18"/>
              </w:rPr>
              <w:t xml:space="preserve">Test ramped cloning, standard groups, and same-product groups with different Ship To values.</w:t>
            </w:r>
          </w:p>
        </w:tc>
      </w:tr>
    </w:tbl>
    <w:p>
      <w:pPr>
        <w:spacing w:after="20"/>
      </w:pPr>
    </w:p>
    <w:p>
      <w:pPr>
        <w:pStyle w:val="Heading1"/>
        <w:keepNext/>
      </w:pPr>
      <w:r>
        <w:t>Ready-to-paste architect response</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40" w:type="dxa"/>
              <w:bottom w:w="100" w:type="dxa"/>
              <w:end w:w="140" w:type="dxa"/>
            </w:tcMar>
            <w:vAlign w:val="center"/>
            <w:shd w:fill="EAF2FA"/>
          </w:tcPr>
          <w:p>
            <w:pPr>
              <w:spacing w:after="40"/>
            </w:pPr>
            <w:r>
              <w:rPr>
                <w:rFonts w:ascii="Arial" w:hAnsi="Arial"/>
                <w:b/>
                <w:i w:val="0"/>
                <w:color w:val="2E74B5"/>
                <w:sz w:val="18"/>
              </w:rPr>
              <w:t>STORY COMMENT</w:t>
            </w:r>
          </w:p>
          <w:p>
            <w:pPr>
              <w:spacing w:after="0" w:line="259" w:lineRule="auto"/>
            </w:pPr>
            <w:r>
              <w:rPr>
                <w:rFonts w:ascii="Arial" w:hAnsi="Arial"/>
                <w:b/>
                <w:i w:val="0"/>
                <w:color w:val="0B2545"/>
                <w:sz w:val="22"/>
              </w:rPr>
              <w:t xml:space="preserve">Architect review completed for SALDEV-1440 in FlywirePartial. GO for closure in Partial: Allow Product Ramping exists, is visible in the Quote Line Editor, and is editable through CPQ Sales Permissions. The scoped field-set dry run succeeded unchanged (job 0AfhG000001XgKrSAK, 1 of 1 component, no deployment). Partial review evidence covers ramped cloning, standard groups, and same products with different Ship To locations. SALDEV-1404 remains responsible for the deeper duplicate matrix; one-time fee carry-over and later-group product roll-down should be tracked separately. Before promotion, deploy only the three story components, validate the destination org, and execute the business smoke tests.</w:t>
            </w:r>
          </w:p>
        </w:tc>
      </w:tr>
    </w:tbl>
    <w:p>
      <w:pPr>
        <w:spacing w:after="20"/>
      </w:pPr>
    </w:p>
    <w:p>
      <w:pPr>
        <w:pStyle w:val="Heading2"/>
        <w:keepNext/>
      </w:pPr>
      <w:r>
        <w:t>Evidence boundary</w:t>
      </w:r>
    </w:p>
    <w:p>
      <w:pPr>
        <w:spacing w:after="120" w:line="264" w:lineRule="auto"/>
      </w:pPr>
      <w:r>
        <w:rPr>
          <w:rFonts w:ascii="Arial" w:hAnsi="Arial"/>
          <w:b w:val="0"/>
          <w:i w:val="0"/>
          <w:color w:val="1F2937"/>
          <w:sz w:val="22"/>
        </w:rPr>
        <w:t xml:space="preserve">This assessment combines the SALDEV-1440 ticket export, scoped live metadata retrieval, local source comparison, and a FlywirePartial check-only validation. No records, deployment, activation, quick deploy, or org metadata changes were performed.</w:t>
      </w:r>
    </w:p>
    <w:sectPr w:rsidR="00FC693F" w:rsidRPr="0006063C" w:rsidSect="00034616">
      <w:headerReference w:type="default" r:id="rId9"/>
      <w:headerReference w:type="even" r:id="rId10"/>
      <w:headerReference w:type="first" r:id="rId11"/>
      <w:footerReference w:type="default" r:id="rId12"/>
      <w:footerReference w:type="even" r:id="rId13"/>
      <w:footerReference w:type="first" r:id="rId14"/>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
      <w:rPr>
        <w:rFonts w:ascii="Arial" w:hAnsi="Arial"/>
        <w:b w:val="0"/>
        <w:i w:val="0"/>
        <w:color w:val="5B6777"/>
        <w:sz w:val="18"/>
      </w:rPr>
      <w:t xml:space="preserve">FlywirePartial review  |  Page </w:t>
    </w:r>
    <w:r>
      <w:rPr>
        <w:rFonts w:ascii="Arial" w:hAnsi="Arial"/>
        <w:b w:val="0"/>
        <w:i w:val="0"/>
        <w:color w:val="5B6777"/>
        <w:sz w:val="18"/>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
      <w:rPr>
        <w:rFonts w:ascii="Arial" w:hAnsi="Arial"/>
        <w:b w:val="0"/>
        <w:i w:val="0"/>
        <w:color w:val="5B6777"/>
        <w:sz w:val="18"/>
      </w:rPr>
      <w:t xml:space="preserve">FlywirePartial review  |  Page </w:t>
    </w:r>
    <w:r>
      <w:rPr>
        <w:rFonts w:ascii="Arial" w:hAnsi="Arial"/>
        <w:b w:val="0"/>
        <w:i w:val="0"/>
        <w:color w:val="5B6777"/>
        <w:sz w:val="18"/>
      </w:rPr>
      <w:fldChar w:fldCharType="begin"/>
      <w:instrText xml:space="preserve"> PAGE </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
      <w:rPr>
        <w:rFonts w:ascii="Arial" w:hAnsi="Arial"/>
        <w:b w:val="0"/>
        <w:i w:val="0"/>
        <w:color w:val="5B6777"/>
        <w:sz w:val="18"/>
      </w:rPr>
      <w:t xml:space="preserve">FlywirePartial review  |  Page </w:t>
    </w:r>
    <w:r>
      <w:rPr>
        <w:rFonts w:ascii="Arial" w:hAnsi="Arial"/>
        <w:b w:val="0"/>
        <w:i w:val="0"/>
        <w:color w:val="5B6777"/>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before="0"/>
    </w:pPr>
    <w:rPr>
      <w:rFonts w:ascii="Arial" w:hAnsi="Arial"/>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0B254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SCC-3385 Create Work Order for Tickets Architect Review</dc:title>
  <dc:subject>Source retrieval and check-only readiness assessment</dc:subject>
  <dc:creator>Solution Architecture Review</dc:creator>
  <cp:keywords>Salesforce, Great Plains, SCC-3385, Work Order, architect review, dry run</cp:keywords>
  <dc:description>generated by python-docx</dc:description>
  <cp:lastModifiedBy/>
  <cp:revision>1</cp:revision>
  <dcterms:created xsi:type="dcterms:W3CDTF">2013-12-23T23:15:00Z</dcterms:created>
  <dcterms:modified xsi:type="dcterms:W3CDTF">2013-12-23T23:15:00Z</dcterms:modified>
  <cp:category/>
</cp:coreProperties>
</file>