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Arial" w:hAnsi="Arial"/>
          <w:b/>
          <w:i w:val="0"/>
          <w:color w:val="2E74B5"/>
          <w:sz w:val="20"/>
        </w:rPr>
        <w:t>ARCHITECT REVIEW</w:t>
      </w:r>
    </w:p>
    <w:p>
      <w:pPr>
        <w:spacing w:after="80"/>
      </w:pPr>
      <w:r>
        <w:rPr>
          <w:rFonts w:ascii="Arial" w:hAnsi="Arial"/>
          <w:b/>
          <w:i w:val="0"/>
          <w:color w:val="0B2545"/>
          <w:sz w:val="50"/>
        </w:rPr>
        <w:t xml:space="preserve">SALDEV-1467 | Resolve Apex Error on Opportunity Line ID Flow</w:t>
      </w:r>
    </w:p>
    <w:p>
      <w:pPr>
        <w:spacing w:after="280"/>
      </w:pPr>
      <w:r>
        <w:rPr>
          <w:rFonts w:ascii="Arial" w:hAnsi="Arial"/>
          <w:b w:val="0"/>
          <w:i w:val="0"/>
          <w:color w:val="5B6777"/>
          <w:sz w:val="26"/>
        </w:rPr>
        <w:t xml:space="preserve">FlywirePartial | Read-only implementation review and check-only validation</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100" w:type="dxa"/>
              <w:start w:w="140" w:type="dxa"/>
              <w:bottom w:w="100" w:type="dxa"/>
              <w:end w:w="140" w:type="dxa"/>
            </w:tcMar>
            <w:vAlign w:val="center"/>
            <w:shd w:fill="EAF2FA"/>
          </w:tcPr>
          <w:p>
            <w:pPr>
              <w:spacing w:before="0" w:after="0" w:line="252" w:lineRule="auto"/>
              <w:jc w:val="left"/>
            </w:pPr>
            <w:r/>
            <w:r>
              <w:rPr>
                <w:rFonts w:ascii="Arial" w:hAnsi="Arial"/>
                <w:b/>
                <w:i w:val="0"/>
                <w:color w:val="0B2545"/>
                <w:sz w:val="18"/>
              </w:rPr>
              <w:t>Source</w:t>
            </w:r>
          </w:p>
        </w:tc>
        <w:tc>
          <w:tcPr>
            <w:tcW w:type="dxa" w:w="7460"/>
            <w:tcMar>
              <w:top w:w="100" w:type="dxa"/>
              <w:start w:w="140" w:type="dxa"/>
              <w:bottom w:w="100" w:type="dxa"/>
              <w:end w:w="140" w:type="dxa"/>
            </w:tcMar>
            <w:vAlign w:val="center"/>
          </w:tcPr>
          <w:p>
            <w:pPr>
              <w:spacing w:before="0" w:after="0" w:line="252" w:lineRule="auto"/>
              <w:jc w:val="left"/>
            </w:pPr>
            <w:r/>
            <w:r>
              <w:rPr>
                <w:rFonts w:ascii="Arial" w:hAnsi="Arial"/>
                <w:b w:val="0"/>
                <w:i w:val="0"/>
                <w:color w:val="1F2937"/>
                <w:sz w:val="18"/>
              </w:rPr>
              <w:t xml:space="preserve">FlywirePartial | Sandbox org 00DhG0000000jOXUAY</w:t>
            </w:r>
          </w:p>
        </w:tc>
      </w:tr>
      <w:tr>
        <w:tc>
          <w:tcPr>
            <w:tcW w:type="dxa" w:w="1900"/>
            <w:tcMar>
              <w:top w:w="100" w:type="dxa"/>
              <w:start w:w="140" w:type="dxa"/>
              <w:bottom w:w="100" w:type="dxa"/>
              <w:end w:w="140" w:type="dxa"/>
            </w:tcMar>
            <w:vAlign w:val="center"/>
            <w:shd w:fill="EAF2FA"/>
          </w:tcPr>
          <w:p>
            <w:pPr>
              <w:spacing w:before="0" w:after="0" w:line="252" w:lineRule="auto"/>
              <w:jc w:val="left"/>
            </w:pPr>
            <w:r/>
            <w:r>
              <w:rPr>
                <w:rFonts w:ascii="Arial" w:hAnsi="Arial"/>
                <w:b/>
                <w:i w:val="0"/>
                <w:color w:val="0B2545"/>
                <w:sz w:val="18"/>
              </w:rPr>
              <w:t xml:space="preserve">Scope</w:t>
            </w:r>
          </w:p>
        </w:tc>
        <w:tc>
          <w:tcPr>
            <w:tcW w:type="dxa" w:w="7460"/>
            <w:tcMar>
              <w:top w:w="100" w:type="dxa"/>
              <w:start w:w="140" w:type="dxa"/>
              <w:bottom w:w="100" w:type="dxa"/>
              <w:end w:w="140" w:type="dxa"/>
            </w:tcMar>
            <w:vAlign w:val="center"/>
          </w:tcPr>
          <w:p>
            <w:pPr>
              <w:spacing w:before="0" w:after="0" w:line="252" w:lineRule="auto"/>
              <w:jc w:val="left"/>
            </w:pPr>
            <w:r/>
            <w:r>
              <w:rPr>
                <w:rFonts w:ascii="Arial" w:hAnsi="Arial"/>
                <w:b w:val="0"/>
                <w:i w:val="0"/>
                <w:color w:val="1F2937"/>
                <w:sz w:val="18"/>
              </w:rPr>
              <w:t xml:space="preserve">1 obsolete Flow | 3 triggers | 6 Apex classes/tests</w:t>
            </w:r>
          </w:p>
        </w:tc>
      </w:tr>
      <w:tr>
        <w:tc>
          <w:tcPr>
            <w:tcW w:type="dxa" w:w="1900"/>
            <w:tcMar>
              <w:top w:w="100" w:type="dxa"/>
              <w:start w:w="140" w:type="dxa"/>
              <w:bottom w:w="100" w:type="dxa"/>
              <w:end w:w="140" w:type="dxa"/>
            </w:tcMar>
            <w:vAlign w:val="center"/>
            <w:shd w:fill="EAF2FA"/>
          </w:tcPr>
          <w:p>
            <w:pPr>
              <w:spacing w:before="0" w:after="0" w:line="252" w:lineRule="auto"/>
              <w:jc w:val="left"/>
            </w:pPr>
            <w:r/>
            <w:r>
              <w:rPr>
                <w:rFonts w:ascii="Arial" w:hAnsi="Arial"/>
                <w:b/>
                <w:i w:val="0"/>
                <w:color w:val="0B2545"/>
                <w:sz w:val="18"/>
              </w:rPr>
              <w:t>Review date</w:t>
            </w:r>
          </w:p>
        </w:tc>
        <w:tc>
          <w:tcPr>
            <w:tcW w:type="dxa" w:w="7460"/>
            <w:tcMar>
              <w:top w:w="100" w:type="dxa"/>
              <w:start w:w="140" w:type="dxa"/>
              <w:bottom w:w="100" w:type="dxa"/>
              <w:end w:w="140" w:type="dxa"/>
            </w:tcMar>
            <w:vAlign w:val="center"/>
          </w:tcPr>
          <w:p>
            <w:pPr>
              <w:spacing w:before="0" w:after="0" w:line="252" w:lineRule="auto"/>
              <w:jc w:val="left"/>
            </w:pPr>
            <w:r/>
            <w:r>
              <w:rPr>
                <w:rFonts w:ascii="Arial" w:hAnsi="Arial"/>
                <w:b w:val="0"/>
                <w:i w:val="0"/>
                <w:color w:val="1F2937"/>
                <w:sz w:val="18"/>
              </w:rPr>
              <w:t xml:space="preserve">28 August 2026</w:t>
            </w:r>
          </w:p>
        </w:tc>
      </w:tr>
      <w:tr>
        <w:tc>
          <w:tcPr>
            <w:tcW w:type="dxa" w:w="1900"/>
            <w:tcMar>
              <w:top w:w="100" w:type="dxa"/>
              <w:start w:w="140" w:type="dxa"/>
              <w:bottom w:w="100" w:type="dxa"/>
              <w:end w:w="140" w:type="dxa"/>
            </w:tcMar>
            <w:vAlign w:val="center"/>
            <w:shd w:fill="EAF2FA"/>
          </w:tcPr>
          <w:p>
            <w:pPr>
              <w:spacing w:before="0" w:after="0" w:line="252" w:lineRule="auto"/>
              <w:jc w:val="left"/>
            </w:pPr>
            <w:r/>
            <w:r>
              <w:rPr>
                <w:rFonts w:ascii="Arial" w:hAnsi="Arial"/>
                <w:b/>
                <w:i w:val="0"/>
                <w:color w:val="0B2545"/>
                <w:sz w:val="18"/>
              </w:rPr>
              <w:t xml:space="preserve">Check-only</w:t>
            </w:r>
          </w:p>
        </w:tc>
        <w:tc>
          <w:tcPr>
            <w:tcW w:type="dxa" w:w="7460"/>
            <w:tcMar>
              <w:top w:w="100" w:type="dxa"/>
              <w:start w:w="140" w:type="dxa"/>
              <w:bottom w:w="100" w:type="dxa"/>
              <w:end w:w="140" w:type="dxa"/>
            </w:tcMar>
            <w:vAlign w:val="center"/>
          </w:tcPr>
          <w:p>
            <w:pPr>
              <w:spacing w:before="0" w:after="0" w:line="252" w:lineRule="auto"/>
              <w:jc w:val="left"/>
            </w:pPr>
            <w:r/>
            <w:r>
              <w:rPr>
                <w:rFonts w:ascii="Arial" w:hAnsi="Arial"/>
                <w:b w:val="0"/>
                <w:i w:val="0"/>
                <w:color w:val="1F2937"/>
                <w:sz w:val="18"/>
              </w:rPr>
              <w:t xml:space="preserve">Failed | Job 0AfhG000001ZTplSAG | 10/10 components, 16/16 tests</w:t>
            </w:r>
          </w:p>
        </w:tc>
      </w:tr>
      <w:tr>
        <w:tc>
          <w:tcPr>
            <w:tcW w:type="dxa" w:w="1900"/>
            <w:tcMar>
              <w:top w:w="100" w:type="dxa"/>
              <w:start w:w="140" w:type="dxa"/>
              <w:bottom w:w="100" w:type="dxa"/>
              <w:end w:w="140" w:type="dxa"/>
            </w:tcMar>
            <w:vAlign w:val="center"/>
            <w:shd w:fill="EAF2FA"/>
          </w:tcPr>
          <w:p>
            <w:pPr>
              <w:spacing w:before="0" w:after="0" w:line="252" w:lineRule="auto"/>
              <w:jc w:val="left"/>
            </w:pPr>
            <w:r/>
            <w:r>
              <w:rPr>
                <w:rFonts w:ascii="Arial" w:hAnsi="Arial"/>
                <w:b/>
                <w:i w:val="0"/>
                <w:color w:val="0B2545"/>
                <w:sz w:val="18"/>
              </w:rPr>
              <w:t>Decision</w:t>
            </w:r>
          </w:p>
        </w:tc>
        <w:tc>
          <w:tcPr>
            <w:tcW w:type="dxa" w:w="7460"/>
            <w:tcMar>
              <w:top w:w="100" w:type="dxa"/>
              <w:start w:w="140" w:type="dxa"/>
              <w:bottom w:w="100" w:type="dxa"/>
              <w:end w:w="140" w:type="dxa"/>
            </w:tcMar>
            <w:vAlign w:val="center"/>
          </w:tcPr>
          <w:p>
            <w:pPr>
              <w:spacing w:before="0" w:after="0" w:line="252" w:lineRule="auto"/>
              <w:jc w:val="left"/>
            </w:pPr>
            <w:r/>
            <w:r>
              <w:rPr>
                <w:rFonts w:ascii="Arial" w:hAnsi="Arial"/>
                <w:b w:val="0"/>
                <w:i w:val="0"/>
                <w:color w:val="1F2937"/>
                <w:sz w:val="18"/>
              </w:rPr>
              <w:t xml:space="preserve">NO-GO - Changes Requested before QA or promotion</w:t>
            </w:r>
          </w:p>
        </w:tc>
      </w:tr>
      <w:tr>
        <w:tc>
          <w:tcPr>
            <w:tcW w:type="dxa" w:w="1900"/>
            <w:tcMar>
              <w:top w:w="100" w:type="dxa"/>
              <w:start w:w="140" w:type="dxa"/>
              <w:bottom w:w="100" w:type="dxa"/>
              <w:end w:w="140" w:type="dxa"/>
            </w:tcMar>
            <w:vAlign w:val="center"/>
            <w:shd w:fill="EAF2FA"/>
          </w:tcPr>
          <w:p>
            <w:pPr>
              <w:spacing w:before="0" w:after="0" w:line="252" w:lineRule="auto"/>
              <w:jc w:val="left"/>
            </w:pPr>
            <w:r/>
            <w:r>
              <w:rPr>
                <w:rFonts w:ascii="Arial" w:hAnsi="Arial"/>
                <w:b/>
                <w:i w:val="0"/>
                <w:color w:val="0B2545"/>
                <w:sz w:val="18"/>
              </w:rPr>
              <w:t>Boundary</w:t>
            </w:r>
          </w:p>
        </w:tc>
        <w:tc>
          <w:tcPr>
            <w:tcW w:type="dxa" w:w="7460"/>
            <w:tcMar>
              <w:top w:w="100" w:type="dxa"/>
              <w:start w:w="140" w:type="dxa"/>
              <w:bottom w:w="100" w:type="dxa"/>
              <w:end w:w="140" w:type="dxa"/>
            </w:tcMar>
            <w:vAlign w:val="center"/>
          </w:tcPr>
          <w:p>
            <w:pPr>
              <w:spacing w:before="0" w:after="0" w:line="252" w:lineRule="auto"/>
              <w:jc w:val="left"/>
            </w:pPr>
            <w:r/>
            <w:r>
              <w:rPr>
                <w:rFonts w:ascii="Arial" w:hAnsi="Arial"/>
                <w:b w:val="0"/>
                <w:i w:val="0"/>
                <w:color w:val="1F2937"/>
                <w:sz w:val="18"/>
              </w:rPr>
              <w:t xml:space="preserve">No records, deployment, activation, or org metadata were changed</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DECEC"/>
          </w:tcPr>
          <w:p>
            <w:pPr>
              <w:spacing w:after="40"/>
            </w:pPr>
            <w:r>
              <w:rPr>
                <w:rFonts w:ascii="Arial" w:hAnsi="Arial"/>
                <w:b/>
                <w:i w:val="0"/>
                <w:color w:val="C53030"/>
                <w:sz w:val="18"/>
              </w:rPr>
              <w:t>ARCHITECT DECISION</w:t>
            </w:r>
          </w:p>
          <w:p>
            <w:pPr>
              <w:spacing w:after="0" w:line="259" w:lineRule="auto"/>
            </w:pPr>
            <w:r>
              <w:rPr>
                <w:rFonts w:ascii="Arial" w:hAnsi="Arial"/>
                <w:b/>
                <w:i w:val="0"/>
                <w:color w:val="0B2545"/>
                <w:sz w:val="22"/>
              </w:rPr>
              <w:t xml:space="preserve">Do not approve SALDEV-1467. The scoped package compiles and all specified tests pass, but check-only validation fails coverage gates and the replacement retains the original cross-object Quote Line DML risk from an OLI after-insert context.</w:t>
            </w:r>
          </w:p>
        </w:tc>
      </w:tr>
    </w:tbl>
    <w:p>
      <w:pPr>
        <w:spacing w:after="20"/>
      </w:pPr>
    </w:p>
    <w:p>
      <w:pPr>
        <w:pStyle w:val="Heading1"/>
        <w:keepNext/>
      </w:pPr>
      <w:r>
        <w:t>Acceptance outcome</w:t>
      </w:r>
    </w:p>
    <w:tbl>
      <w:tblPr>
        <w:tblStyle w:val="TableGrid"/>
        <w:tblW w:type="dxa" w:w="9360"/>
        <w:jc w:val="left"/>
        <w:tblLayout w:type="fixed"/>
        <w:tblLook w:firstColumn="1" w:firstRow="1" w:lastColumn="0" w:lastRow="0" w:noHBand="0" w:noVBand="1" w:val="04A0"/>
        <w:tblInd w:w="120" w:type="dxa"/>
      </w:tblPr>
      <w:tblGrid>
        <w:gridCol w:w="480"/>
        <w:gridCol w:w="2050"/>
        <w:gridCol w:w="1450"/>
        <w:gridCol w:w="5380"/>
      </w:tblGrid>
      <w:tr>
        <w:trPr>
          <w:tblHeader w:val="true"/>
        </w:trPr>
        <w:tc>
          <w:tcPr>
            <w:tcW w:type="dxa" w:w="48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w:t>
            </w:r>
          </w:p>
        </w:tc>
        <w:tc>
          <w:tcPr>
            <w:tcW w:type="dxa" w:w="205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Scope</w:t>
            </w:r>
          </w:p>
        </w:tc>
        <w:tc>
          <w:tcPr>
            <w:tcW w:type="dxa" w:w="145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Result</w:t>
            </w:r>
          </w:p>
        </w:tc>
        <w:tc>
          <w:tcPr>
            <w:tcW w:type="dxa" w:w="538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Evidence</w:t>
            </w:r>
          </w:p>
        </w:tc>
      </w:tr>
      <w:tr>
        <w:tc>
          <w:tcPr>
            <w:tcW w:type="dxa" w:w="480"/>
          </w:tcPr>
          <w:p>
            <w:pPr>
              <w:spacing w:before="0" w:after="0" w:line="252" w:lineRule="auto"/>
              <w:jc w:val="left"/>
            </w:pPr>
            <w:r/>
            <w:r>
              <w:rPr>
                <w:rFonts w:ascii="Arial" w:hAnsi="Arial"/>
                <w:b w:val="0"/>
                <w:i w:val="0"/>
                <w:color w:val="1F2937"/>
                <w:sz w:val="18"/>
              </w:rPr>
              <w:t>1</w:t>
            </w:r>
          </w:p>
        </w:tc>
        <w:tc>
          <w:tcPr>
            <w:tcW w:type="dxa" w:w="2050"/>
          </w:tcPr>
          <w:p>
            <w:pPr>
              <w:spacing w:before="0" w:after="0" w:line="252" w:lineRule="auto"/>
              <w:jc w:val="left"/>
            </w:pPr>
            <w:r/>
            <w:r>
              <w:rPr>
                <w:rFonts w:ascii="Arial" w:hAnsi="Arial"/>
                <w:b w:val="0"/>
                <w:i w:val="0"/>
                <w:color w:val="1F2937"/>
                <w:sz w:val="18"/>
              </w:rPr>
              <w:t xml:space="preserve">Original Flow</w:t>
            </w:r>
          </w:p>
        </w:tc>
        <w:tc>
          <w:tcPr>
            <w:tcW w:type="dxa" w:w="1450"/>
            <w:shd w:fill="E4F3EE"/>
          </w:tcPr>
          <w:p>
            <w:pPr>
              <w:spacing w:before="0" w:after="0" w:line="252" w:lineRule="auto"/>
              <w:jc w:val="center"/>
            </w:pPr>
            <w:r>
              <w:rPr>
                <w:color w:val="138A72"/>
                <w:b/>
              </w:rPr>
            </w:r>
            <w:r>
              <w:rPr>
                <w:rFonts w:ascii="Arial" w:hAnsi="Arial"/>
                <w:b/>
                <w:i w:val="0"/>
                <w:color w:val="138A72"/>
                <w:sz w:val="19"/>
              </w:rPr>
              <w:t xml:space="preserve">Verified</w:t>
            </w:r>
          </w:p>
        </w:tc>
        <w:tc>
          <w:tcPr>
            <w:tcW w:type="dxa" w:w="5380"/>
          </w:tcPr>
          <w:p>
            <w:pPr>
              <w:spacing w:before="0" w:after="0" w:line="252" w:lineRule="auto"/>
              <w:jc w:val="left"/>
            </w:pPr>
            <w:r/>
            <w:r>
              <w:rPr>
                <w:rFonts w:ascii="Arial" w:hAnsi="Arial"/>
                <w:b w:val="0"/>
                <w:i w:val="0"/>
                <w:color w:val="1F2937"/>
                <w:sz w:val="18"/>
              </w:rPr>
              <w:t xml:space="preserve">copying_of_Opportunity_Line_Id_unique_identifier has status Obsolete in FlywirePartial.</w:t>
            </w:r>
          </w:p>
        </w:tc>
      </w:tr>
      <w:tr>
        <w:tc>
          <w:tcPr>
            <w:tcW w:type="dxa" w:w="480"/>
          </w:tcPr>
          <w:p>
            <w:pPr>
              <w:spacing w:before="0" w:after="0" w:line="252" w:lineRule="auto"/>
              <w:jc w:val="left"/>
            </w:pPr>
            <w:r/>
            <w:r>
              <w:rPr>
                <w:rFonts w:ascii="Arial" w:hAnsi="Arial"/>
                <w:b w:val="0"/>
                <w:i w:val="0"/>
                <w:color w:val="1F2937"/>
                <w:sz w:val="18"/>
              </w:rPr>
              <w:t>2</w:t>
            </w:r>
          </w:p>
        </w:tc>
        <w:tc>
          <w:tcPr>
            <w:tcW w:type="dxa" w:w="2050"/>
          </w:tcPr>
          <w:p>
            <w:pPr>
              <w:spacing w:before="0" w:after="0" w:line="252" w:lineRule="auto"/>
              <w:jc w:val="left"/>
            </w:pPr>
            <w:r/>
            <w:r>
              <w:rPr>
                <w:rFonts w:ascii="Arial" w:hAnsi="Arial"/>
                <w:b w:val="0"/>
                <w:i w:val="0"/>
                <w:color w:val="1F2937"/>
                <w:sz w:val="18"/>
              </w:rPr>
              <w:t xml:space="preserve">Stepped products</w:t>
            </w:r>
          </w:p>
        </w:tc>
        <w:tc>
          <w:tcPr>
            <w:tcW w:type="dxa" w:w="1450"/>
            <w:shd w:fill="FFF4D6"/>
          </w:tcPr>
          <w:p>
            <w:pPr>
              <w:spacing w:before="0" w:after="0" w:line="252" w:lineRule="auto"/>
              <w:jc w:val="center"/>
            </w:pPr>
            <w:r>
              <w:rPr>
                <w:color w:val="B7791F"/>
                <w:b/>
              </w:rPr>
            </w:r>
            <w:r>
              <w:rPr>
                <w:rFonts w:ascii="Arial" w:hAnsi="Arial"/>
                <w:b/>
                <w:i w:val="0"/>
                <w:color w:val="B7791F"/>
                <w:sz w:val="19"/>
              </w:rPr>
              <w:t xml:space="preserve">Partial</w:t>
            </w:r>
          </w:p>
        </w:tc>
        <w:tc>
          <w:tcPr>
            <w:tcW w:type="dxa" w:w="5380"/>
          </w:tcPr>
          <w:p>
            <w:pPr>
              <w:spacing w:before="0" w:after="0" w:line="252" w:lineRule="auto"/>
              <w:jc w:val="left"/>
            </w:pPr>
            <w:r/>
            <w:r>
              <w:rPr>
                <w:rFonts w:ascii="Arial" w:hAnsi="Arial"/>
                <w:b w:val="0"/>
                <w:i w:val="0"/>
                <w:color w:val="1F2937"/>
                <w:sz w:val="18"/>
              </w:rPr>
              <w:t xml:space="preserve">Mapping logic exists, but tests prove only non-null/fallback values rather than exact cross-group identity for all bundle slots.</w:t>
            </w:r>
          </w:p>
        </w:tc>
      </w:tr>
      <w:tr>
        <w:tc>
          <w:tcPr>
            <w:tcW w:type="dxa" w:w="480"/>
          </w:tcPr>
          <w:p>
            <w:pPr>
              <w:spacing w:before="0" w:after="0" w:line="252" w:lineRule="auto"/>
              <w:jc w:val="left"/>
            </w:pPr>
            <w:r/>
            <w:r>
              <w:rPr>
                <w:rFonts w:ascii="Arial" w:hAnsi="Arial"/>
                <w:b w:val="0"/>
                <w:i w:val="0"/>
                <w:color w:val="1F2937"/>
                <w:sz w:val="18"/>
              </w:rPr>
              <w:t>3</w:t>
            </w:r>
          </w:p>
        </w:tc>
        <w:tc>
          <w:tcPr>
            <w:tcW w:type="dxa" w:w="2050"/>
          </w:tcPr>
          <w:p>
            <w:pPr>
              <w:spacing w:before="0" w:after="0" w:line="252" w:lineRule="auto"/>
              <w:jc w:val="left"/>
            </w:pPr>
            <w:r/>
            <w:r>
              <w:rPr>
                <w:rFonts w:ascii="Arial" w:hAnsi="Arial"/>
                <w:b w:val="0"/>
                <w:i w:val="0"/>
                <w:color w:val="1F2937"/>
                <w:sz w:val="18"/>
              </w:rPr>
              <w:t xml:space="preserve">Price-change clone</w:t>
            </w:r>
          </w:p>
        </w:tc>
        <w:tc>
          <w:tcPr>
            <w:tcW w:type="dxa" w:w="1450"/>
            <w:shd w:fill="FDE8E8"/>
          </w:tcPr>
          <w:p>
            <w:pPr>
              <w:spacing w:before="0" w:after="0" w:line="252" w:lineRule="auto"/>
              <w:jc w:val="center"/>
            </w:pPr>
            <w:r>
              <w:rPr>
                <w:color w:val="C53030"/>
                <w:b/>
              </w:rPr>
            </w:r>
            <w:r>
              <w:rPr>
                <w:rFonts w:ascii="Arial" w:hAnsi="Arial"/>
                <w:b/>
                <w:i w:val="0"/>
                <w:color w:val="C53030"/>
                <w:sz w:val="19"/>
              </w:rPr>
              <w:t xml:space="preserve">Not proven</w:t>
            </w:r>
          </w:p>
        </w:tc>
        <w:tc>
          <w:tcPr>
            <w:tcW w:type="dxa" w:w="5380"/>
          </w:tcPr>
          <w:p>
            <w:pPr>
              <w:spacing w:before="0" w:after="0" w:line="252" w:lineRule="auto"/>
              <w:jc w:val="left"/>
            </w:pPr>
            <w:r/>
            <w:r>
              <w:rPr>
                <w:rFonts w:ascii="Arial" w:hAnsi="Arial"/>
                <w:b w:val="0"/>
                <w:i w:val="0"/>
                <w:color w:val="1F2937"/>
                <w:sz w:val="18"/>
              </w:rPr>
              <w:t xml:space="preserve">The amendment method is invoked, but no assertion confirms the cloned line retains the source Opportunity Line ID.</w:t>
            </w:r>
          </w:p>
        </w:tc>
      </w:tr>
      <w:tr>
        <w:tc>
          <w:tcPr>
            <w:tcW w:type="dxa" w:w="480"/>
          </w:tcPr>
          <w:p>
            <w:pPr>
              <w:spacing w:before="0" w:after="0" w:line="252" w:lineRule="auto"/>
              <w:jc w:val="left"/>
            </w:pPr>
            <w:r/>
            <w:r>
              <w:rPr>
                <w:rFonts w:ascii="Arial" w:hAnsi="Arial"/>
                <w:b w:val="0"/>
                <w:i w:val="0"/>
                <w:color w:val="1F2937"/>
                <w:sz w:val="18"/>
              </w:rPr>
              <w:t>4</w:t>
            </w:r>
          </w:p>
        </w:tc>
        <w:tc>
          <w:tcPr>
            <w:tcW w:type="dxa" w:w="2050"/>
          </w:tcPr>
          <w:p>
            <w:pPr>
              <w:spacing w:before="0" w:after="0" w:line="252" w:lineRule="auto"/>
              <w:jc w:val="left"/>
            </w:pPr>
            <w:r/>
            <w:r>
              <w:rPr>
                <w:rFonts w:ascii="Arial" w:hAnsi="Arial"/>
                <w:b w:val="0"/>
                <w:i w:val="0"/>
                <w:color w:val="1F2937"/>
                <w:sz w:val="18"/>
              </w:rPr>
              <w:t xml:space="preserve">Other clone</w:t>
            </w:r>
          </w:p>
        </w:tc>
        <w:tc>
          <w:tcPr>
            <w:tcW w:type="dxa" w:w="1450"/>
            <w:shd w:fill="FDE8E8"/>
          </w:tcPr>
          <w:p>
            <w:pPr>
              <w:spacing w:before="0" w:after="0" w:line="252" w:lineRule="auto"/>
              <w:jc w:val="center"/>
            </w:pPr>
            <w:r>
              <w:rPr>
                <w:color w:val="C53030"/>
                <w:b/>
              </w:rPr>
            </w:r>
            <w:r>
              <w:rPr>
                <w:rFonts w:ascii="Arial" w:hAnsi="Arial"/>
                <w:b/>
                <w:i w:val="0"/>
                <w:color w:val="C53030"/>
                <w:sz w:val="19"/>
              </w:rPr>
              <w:t xml:space="preserve">Not proven</w:t>
            </w:r>
          </w:p>
        </w:tc>
        <w:tc>
          <w:tcPr>
            <w:tcW w:type="dxa" w:w="5380"/>
          </w:tcPr>
          <w:p>
            <w:pPr>
              <w:spacing w:before="0" w:after="0" w:line="252" w:lineRule="auto"/>
              <w:jc w:val="left"/>
            </w:pPr>
            <w:r/>
            <w:r>
              <w:rPr>
                <w:rFonts w:ascii="Arial" w:hAnsi="Arial"/>
                <w:b w:val="0"/>
                <w:i w:val="0"/>
                <w:color w:val="1F2937"/>
                <w:sz w:val="18"/>
              </w:rPr>
              <w:t xml:space="preserve">No test proves an ordinary clone receives a new Opportunity Line ID or remains independent of the source line.</w:t>
            </w:r>
          </w:p>
        </w:tc>
      </w:tr>
      <w:tr>
        <w:tc>
          <w:tcPr>
            <w:tcW w:type="dxa" w:w="480"/>
          </w:tcPr>
          <w:p>
            <w:pPr>
              <w:spacing w:before="0" w:after="0" w:line="252" w:lineRule="auto"/>
              <w:jc w:val="left"/>
            </w:pPr>
            <w:r/>
            <w:r>
              <w:rPr>
                <w:rFonts w:ascii="Arial" w:hAnsi="Arial"/>
                <w:b w:val="0"/>
                <w:i w:val="0"/>
                <w:color w:val="1F2937"/>
                <w:sz w:val="18"/>
              </w:rPr>
              <w:t>5</w:t>
            </w:r>
          </w:p>
        </w:tc>
        <w:tc>
          <w:tcPr>
            <w:tcW w:type="dxa" w:w="2050"/>
          </w:tcPr>
          <w:p>
            <w:pPr>
              <w:spacing w:before="0" w:after="0" w:line="252" w:lineRule="auto"/>
              <w:jc w:val="left"/>
            </w:pPr>
            <w:r/>
            <w:r>
              <w:rPr>
                <w:rFonts w:ascii="Arial" w:hAnsi="Arial"/>
                <w:b w:val="0"/>
                <w:i w:val="0"/>
                <w:color w:val="1F2937"/>
                <w:sz w:val="18"/>
              </w:rPr>
              <w:t xml:space="preserve">New / Amend / Renew</w:t>
            </w:r>
          </w:p>
        </w:tc>
        <w:tc>
          <w:tcPr>
            <w:tcW w:type="dxa" w:w="1450"/>
            <w:shd w:fill="FFF4D6"/>
          </w:tcPr>
          <w:p>
            <w:pPr>
              <w:spacing w:before="0" w:after="0" w:line="252" w:lineRule="auto"/>
              <w:jc w:val="center"/>
            </w:pPr>
            <w:r>
              <w:rPr>
                <w:color w:val="B7791F"/>
                <w:b/>
              </w:rPr>
            </w:r>
            <w:r>
              <w:rPr>
                <w:rFonts w:ascii="Arial" w:hAnsi="Arial"/>
                <w:b/>
                <w:i w:val="0"/>
                <w:color w:val="B7791F"/>
                <w:sz w:val="19"/>
              </w:rPr>
              <w:t xml:space="preserve">Gap</w:t>
            </w:r>
          </w:p>
        </w:tc>
        <w:tc>
          <w:tcPr>
            <w:tcW w:type="dxa" w:w="5380"/>
          </w:tcPr>
          <w:p>
            <w:pPr>
              <w:spacing w:before="0" w:after="0" w:line="252" w:lineRule="auto"/>
              <w:jc w:val="left"/>
            </w:pPr>
            <w:r/>
            <w:r>
              <w:rPr>
                <w:rFonts w:ascii="Arial" w:hAnsi="Arial"/>
                <w:b w:val="0"/>
                <w:i w:val="0"/>
                <w:color w:val="1F2937"/>
                <w:sz w:val="18"/>
              </w:rPr>
              <w:t xml:space="preserve">Fixtures mention these contexts, but end-to-end cloning outcomes are not asserted for each lifecycle path.</w:t>
            </w:r>
          </w:p>
        </w:tc>
      </w:tr>
      <w:tr>
        <w:tc>
          <w:tcPr>
            <w:tcW w:type="dxa" w:w="480"/>
          </w:tcPr>
          <w:p>
            <w:pPr>
              <w:spacing w:before="0" w:after="0" w:line="252" w:lineRule="auto"/>
              <w:jc w:val="left"/>
            </w:pPr>
            <w:r/>
            <w:r>
              <w:rPr>
                <w:rFonts w:ascii="Arial" w:hAnsi="Arial"/>
                <w:b w:val="0"/>
                <w:i w:val="0"/>
                <w:color w:val="1F2937"/>
                <w:sz w:val="18"/>
              </w:rPr>
              <w:t>6</w:t>
            </w:r>
          </w:p>
        </w:tc>
        <w:tc>
          <w:tcPr>
            <w:tcW w:type="dxa" w:w="2050"/>
          </w:tcPr>
          <w:p>
            <w:pPr>
              <w:spacing w:before="0" w:after="0" w:line="252" w:lineRule="auto"/>
              <w:jc w:val="left"/>
            </w:pPr>
            <w:r/>
            <w:r>
              <w:rPr>
                <w:rFonts w:ascii="Arial" w:hAnsi="Arial"/>
                <w:b w:val="0"/>
                <w:i w:val="0"/>
                <w:color w:val="1F2937"/>
                <w:sz w:val="18"/>
              </w:rPr>
              <w:t xml:space="preserve">Error-free quoting</w:t>
            </w:r>
          </w:p>
        </w:tc>
        <w:tc>
          <w:tcPr>
            <w:tcW w:type="dxa" w:w="1450"/>
            <w:shd w:fill="FDE8E8"/>
          </w:tcPr>
          <w:p>
            <w:pPr>
              <w:spacing w:before="0" w:after="0" w:line="252" w:lineRule="auto"/>
              <w:jc w:val="center"/>
            </w:pPr>
            <w:r>
              <w:rPr>
                <w:color w:val="C53030"/>
                <w:b/>
              </w:rPr>
            </w:r>
            <w:r>
              <w:rPr>
                <w:rFonts w:ascii="Arial" w:hAnsi="Arial"/>
                <w:b/>
                <w:i w:val="0"/>
                <w:color w:val="C53030"/>
                <w:sz w:val="19"/>
              </w:rPr>
              <w:t xml:space="preserve">Blocked</w:t>
            </w:r>
          </w:p>
        </w:tc>
        <w:tc>
          <w:tcPr>
            <w:tcW w:type="dxa" w:w="5380"/>
          </w:tcPr>
          <w:p>
            <w:pPr>
              <w:spacing w:before="0" w:after="0" w:line="252" w:lineRule="auto"/>
              <w:jc w:val="left"/>
            </w:pPr>
            <w:r/>
            <w:r>
              <w:rPr>
                <w:rFonts w:ascii="Arial" w:hAnsi="Arial"/>
                <w:b w:val="0"/>
                <w:i w:val="0"/>
                <w:color w:val="1F2937"/>
                <w:sz w:val="18"/>
              </w:rPr>
              <w:t xml:space="preserve">Synthetic tests pass; no representative bundle test proves the CPQ async collision is eliminated.</w:t>
            </w:r>
          </w:p>
        </w:tc>
      </w:tr>
    </w:tbl>
    <w:p>
      <w:pPr>
        <w:spacing w:after="20"/>
      </w:pPr>
    </w:p>
    <w:p>
      <w:r>
        <w:br w:type="page"/>
      </w:r>
    </w:p>
    <w:p>
      <w:pPr>
        <w:pStyle w:val="Heading1"/>
        <w:keepNext/>
      </w:pPr>
      <w:r>
        <w:t xml:space="preserve">Runtime-risk path</w:t>
      </w:r>
    </w:p>
    <w:p>
      <w:pPr>
        <w:spacing w:after="120" w:line="264" w:lineRule="auto"/>
      </w:pPr>
      <w:r>
        <w:rPr>
          <w:rFonts w:ascii="Arial" w:hAnsi="Arial"/>
          <w:b w:val="0"/>
          <w:i w:val="0"/>
          <w:color w:val="1F2937"/>
          <w:sz w:val="22"/>
        </w:rPr>
        <w:t xml:space="preserve">The obsolete Flow removes one writer, but the replacement OLI after-insert trigger still performs cross-object DML on SBQQ__QuoteLine__c and can re-enter CPQ after-update processing.</w:t>
      </w:r>
    </w:p>
    <w:p>
      <w:pPr>
        <w:keepNext/>
        <w:jc w:val="center"/>
      </w:pPr>
      <w:r>
        <w:drawing>
          <wp:inline xmlns:a="http://schemas.openxmlformats.org/drawingml/2006/main" xmlns:pic="http://schemas.openxmlformats.org/drawingml/2006/picture">
            <wp:extent cx="5897880" cy="3759898"/>
            <wp:docPr id="1" name="Picture 1" title="Figure 1. SCC-3385 Merge-to-UAT validation path" descr="Diagram showing GreatPlainsMerge metadata moving into a corrected fourteen-component check-only package and failing in GreatPlainsUAT. The lower lane lists missing prerequisites and the NO-GO architect decision."/>
            <wp:cNvGraphicFramePr>
              <a:graphicFrameLocks noChangeAspect="1"/>
            </wp:cNvGraphicFramePr>
            <a:graphic>
              <a:graphicData uri="http://schemas.openxmlformats.org/drawingml/2006/picture">
                <pic:pic>
                  <pic:nvPicPr>
                    <pic:cNvPr id="0" name="scc3385-deployment-validation-path.png"/>
                    <pic:cNvPicPr/>
                  </pic:nvPicPr>
                  <pic:blipFill>
                    <a:blip r:embed="rId17"/>
                    <a:stretch>
                      <a:fillRect/>
                    </a:stretch>
                  </pic:blipFill>
                  <pic:spPr>
                    <a:xfrm>
                      <a:off x="0" y="0"/>
                      <a:ext cx="5897880" cy="3759898"/>
                    </a:xfrm>
                    <a:prstGeom prst="rect"/>
                  </pic:spPr>
                </pic:pic>
              </a:graphicData>
            </a:graphic>
          </wp:inline>
        </w:drawing>
      </w:r>
    </w:p>
    <w:p>
      <w:pPr>
        <w:keepNext/>
        <w:spacing w:before="40" w:after="160"/>
        <w:jc w:val="center"/>
      </w:pPr>
      <w:r>
        <w:rPr>
          <w:rFonts w:ascii="Arial" w:hAnsi="Arial"/>
          <w:b w:val="0"/>
          <w:i/>
          <w:color w:val="5B6777"/>
          <w:sz w:val="18"/>
        </w:rPr>
        <w:t xml:space="preserve">Figure 1. SALDEV-1467 current OLI-to-Quote-Line execution path</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EAF2FA"/>
          </w:tcPr>
          <w:p>
            <w:pPr>
              <w:spacing w:after="40"/>
            </w:pPr>
            <w:r>
              <w:rPr>
                <w:rFonts w:ascii="Arial" w:hAnsi="Arial"/>
                <w:b/>
                <w:i w:val="0"/>
                <w:color w:val="2E74B5"/>
                <w:sz w:val="18"/>
              </w:rPr>
              <w:t>DESIGN READING</w:t>
            </w:r>
          </w:p>
          <w:p>
            <w:pPr>
              <w:spacing w:after="0" w:line="259" w:lineRule="auto"/>
            </w:pPr>
            <w:r>
              <w:rPr>
                <w:rFonts w:ascii="Arial" w:hAnsi="Arial"/>
                <w:b/>
                <w:i w:val="0"/>
                <w:color w:val="0B2545"/>
                <w:sz w:val="22"/>
              </w:rPr>
              <w:t xml:space="preserve">Green is verified. Amber needs stronger evidence. Red blocks approval or can recreate the original failure mode.</w:t>
            </w:r>
          </w:p>
        </w:tc>
      </w:tr>
    </w:tbl>
    <w:p>
      <w:pPr>
        <w:spacing w:after="20"/>
      </w:pPr>
    </w:p>
    <w:p>
      <w:r>
        <w:br w:type="page"/>
      </w:r>
    </w:p>
    <w:p>
      <w:pPr>
        <w:pStyle w:val="Heading1"/>
        <w:keepNext/>
      </w:pPr>
      <w:r>
        <w:t xml:space="preserve">Detailed review findings</w:t>
      </w:r>
    </w:p>
    <w:p>
      <w:pPr>
        <w:pStyle w:val="Heading2"/>
        <w:keepNext/>
      </w:pPr>
      <w:r>
        <w:t xml:space="preserve">1. Check-only validation evidence</w:t>
      </w:r>
    </w:p>
    <w:tbl>
      <w:tblPr>
        <w:tblStyle w:val="TableGrid"/>
        <w:tblW w:type="dxa" w:w="9360"/>
        <w:jc w:val="left"/>
        <w:tblLayout w:type="fixed"/>
        <w:tblLook w:firstColumn="1" w:firstRow="1" w:lastColumn="0" w:lastRow="0" w:noHBand="0" w:noVBand="1" w:val="04A0"/>
        <w:tblInd w:w="120" w:type="dxa"/>
      </w:tblPr>
      <w:tblGrid>
        <w:gridCol w:w="1750"/>
        <w:gridCol w:w="2350"/>
        <w:gridCol w:w="5260"/>
      </w:tblGrid>
      <w:tr>
        <w:trPr>
          <w:tblHeader w:val="true"/>
        </w:trPr>
        <w:tc>
          <w:tcPr>
            <w:tcW w:type="dxa" w:w="175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 xml:space="preserve">Metric</w:t>
            </w:r>
          </w:p>
        </w:tc>
        <w:tc>
          <w:tcPr>
            <w:tcW w:type="dxa" w:w="235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 xml:space="preserve">Result</w:t>
            </w:r>
          </w:p>
        </w:tc>
        <w:tc>
          <w:tcPr>
            <w:tcW w:type="dxa" w:w="526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 xml:space="preserve">Evidence</w:t>
            </w:r>
          </w:p>
        </w:tc>
      </w:tr>
      <w:tr>
        <w:tc>
          <w:tcPr>
            <w:tcW w:type="dxa" w:w="1750"/>
          </w:tcPr>
          <w:p>
            <w:pPr>
              <w:spacing w:before="0" w:after="0" w:line="252" w:lineRule="auto"/>
              <w:jc w:val="left"/>
            </w:pPr>
            <w:r/>
            <w:r>
              <w:rPr>
                <w:rFonts w:ascii="Arial" w:hAnsi="Arial"/>
                <w:b w:val="0"/>
                <w:i w:val="0"/>
                <w:color w:val="1F2937"/>
                <w:sz w:val="18"/>
              </w:rPr>
              <w:t xml:space="preserve">Validation job</w:t>
            </w:r>
          </w:p>
        </w:tc>
        <w:tc>
          <w:tcPr>
            <w:tcW w:type="dxa" w:w="2350"/>
            <w:shd w:fill="E4F3EE"/>
          </w:tcPr>
          <w:p>
            <w:pPr>
              <w:spacing w:before="0" w:after="0" w:line="252" w:lineRule="auto"/>
              <w:jc w:val="left"/>
            </w:pPr>
            <w:r>
              <w:rPr>
                <w:color w:val="138A72"/>
                <w:b/>
              </w:rPr>
            </w:r>
            <w:r>
              <w:rPr>
                <w:rFonts w:ascii="Arial" w:hAnsi="Arial"/>
                <w:b w:val="0"/>
                <w:i w:val="0"/>
                <w:color w:val="138A72"/>
                <w:sz w:val="18"/>
              </w:rPr>
              <w:t xml:space="preserve">Failed</w:t>
            </w:r>
          </w:p>
        </w:tc>
        <w:tc>
          <w:tcPr>
            <w:tcW w:type="dxa" w:w="5260"/>
          </w:tcPr>
          <w:p>
            <w:pPr>
              <w:spacing w:before="0" w:after="0" w:line="252" w:lineRule="auto"/>
              <w:jc w:val="left"/>
            </w:pPr>
            <w:r/>
            <w:r>
              <w:rPr>
                <w:rFonts w:ascii="Arial" w:hAnsi="Arial"/>
                <w:b w:val="0"/>
                <w:i w:val="0"/>
                <w:color w:val="1F2937"/>
                <w:sz w:val="18"/>
              </w:rPr>
              <w:t xml:space="preserve">0AfhG000001ZTplSAG; checkOnly=true; rollbackOnError=true; no component or test errors.</w:t>
            </w:r>
          </w:p>
        </w:tc>
      </w:tr>
      <w:tr>
        <w:tc>
          <w:tcPr>
            <w:tcW w:type="dxa" w:w="1750"/>
          </w:tcPr>
          <w:p>
            <w:pPr>
              <w:spacing w:before="0" w:after="0" w:line="252" w:lineRule="auto"/>
              <w:jc w:val="left"/>
            </w:pPr>
            <w:r/>
            <w:r>
              <w:rPr>
                <w:rFonts w:ascii="Arial" w:hAnsi="Arial"/>
                <w:b w:val="0"/>
                <w:i w:val="0"/>
                <w:color w:val="1F2937"/>
                <w:sz w:val="18"/>
              </w:rPr>
              <w:t xml:space="preserve">Payload</w:t>
            </w:r>
          </w:p>
        </w:tc>
        <w:tc>
          <w:tcPr>
            <w:tcW w:type="dxa" w:w="2350"/>
            <w:shd w:fill="E4F3EE"/>
          </w:tcPr>
          <w:p>
            <w:pPr>
              <w:spacing w:before="0" w:after="0" w:line="252" w:lineRule="auto"/>
              <w:jc w:val="left"/>
            </w:pPr>
            <w:r>
              <w:rPr>
                <w:color w:val="138A72"/>
                <w:b/>
              </w:rPr>
            </w:r>
            <w:r>
              <w:rPr>
                <w:rFonts w:ascii="Arial" w:hAnsi="Arial"/>
                <w:b w:val="0"/>
                <w:i w:val="0"/>
                <w:color w:val="138A72"/>
                <w:sz w:val="18"/>
              </w:rPr>
              <w:t xml:space="preserve">10 components</w:t>
            </w:r>
          </w:p>
        </w:tc>
        <w:tc>
          <w:tcPr>
            <w:tcW w:type="dxa" w:w="5260"/>
          </w:tcPr>
          <w:p>
            <w:pPr>
              <w:spacing w:before="0" w:after="0" w:line="252" w:lineRule="auto"/>
              <w:jc w:val="left"/>
            </w:pPr>
            <w:r/>
            <w:r>
              <w:rPr>
                <w:rFonts w:ascii="Arial" w:hAnsi="Arial"/>
                <w:b w:val="0"/>
                <w:i w:val="0"/>
                <w:color w:val="1F2937"/>
                <w:sz w:val="18"/>
              </w:rPr>
              <w:t xml:space="preserve">1 Flow, 3 triggers, 6 Apex classes/tests; all 10 compiled successfully.</w:t>
            </w:r>
          </w:p>
        </w:tc>
      </w:tr>
      <w:tr>
        <w:tc>
          <w:tcPr>
            <w:tcW w:type="dxa" w:w="1750"/>
          </w:tcPr>
          <w:p>
            <w:pPr>
              <w:spacing w:before="0" w:after="0" w:line="252" w:lineRule="auto"/>
              <w:jc w:val="left"/>
            </w:pPr>
            <w:r/>
            <w:r>
              <w:rPr>
                <w:rFonts w:ascii="Arial" w:hAnsi="Arial"/>
                <w:b w:val="0"/>
                <w:i w:val="0"/>
                <w:color w:val="1F2937"/>
                <w:sz w:val="18"/>
              </w:rPr>
              <w:t xml:space="preserve">Specified tests</w:t>
            </w:r>
          </w:p>
        </w:tc>
        <w:tc>
          <w:tcPr>
            <w:tcW w:type="dxa" w:w="2350"/>
            <w:shd w:fill="E4F3EE"/>
          </w:tcPr>
          <w:p>
            <w:pPr>
              <w:spacing w:before="0" w:after="0" w:line="252" w:lineRule="auto"/>
              <w:jc w:val="left"/>
            </w:pPr>
            <w:r>
              <w:rPr>
                <w:color w:val="138A72"/>
                <w:b/>
              </w:rPr>
            </w:r>
            <w:r>
              <w:rPr>
                <w:rFonts w:ascii="Arial" w:hAnsi="Arial"/>
                <w:b w:val="0"/>
                <w:i w:val="0"/>
                <w:color w:val="138A72"/>
                <w:sz w:val="18"/>
              </w:rPr>
              <w:t xml:space="preserve">16 passed</w:t>
            </w:r>
          </w:p>
        </w:tc>
        <w:tc>
          <w:tcPr>
            <w:tcW w:type="dxa" w:w="5260"/>
          </w:tcPr>
          <w:p>
            <w:pPr>
              <w:spacing w:before="0" w:after="0" w:line="252" w:lineRule="auto"/>
              <w:jc w:val="left"/>
            </w:pPr>
            <w:r/>
            <w:r>
              <w:rPr>
                <w:rFonts w:ascii="Arial" w:hAnsi="Arial"/>
                <w:b w:val="0"/>
                <w:i w:val="0"/>
                <w:color w:val="1F2937"/>
                <w:sz w:val="18"/>
              </w:rPr>
              <w:t xml:space="preserve">OpportunityLineItemTriggerHandlerTest (2), QuoteLineTriggerHandleTest (8), QuoteLineGroupTriggerTest (6).</w:t>
            </w:r>
          </w:p>
        </w:tc>
      </w:tr>
      <w:tr>
        <w:tc>
          <w:tcPr>
            <w:tcW w:type="dxa" w:w="1750"/>
          </w:tcPr>
          <w:p>
            <w:pPr>
              <w:spacing w:before="0" w:after="0" w:line="252" w:lineRule="auto"/>
              <w:jc w:val="left"/>
            </w:pPr>
            <w:r/>
            <w:r>
              <w:rPr>
                <w:rFonts w:ascii="Arial" w:hAnsi="Arial"/>
                <w:b w:val="0"/>
                <w:i w:val="0"/>
                <w:color w:val="1F2937"/>
                <w:sz w:val="18"/>
              </w:rPr>
              <w:t xml:space="preserve">Coverage gates</w:t>
            </w:r>
          </w:p>
        </w:tc>
        <w:tc>
          <w:tcPr>
            <w:tcW w:type="dxa" w:w="2350"/>
            <w:shd w:fill="FDE8E8"/>
          </w:tcPr>
          <w:p>
            <w:pPr>
              <w:spacing w:before="0" w:after="0" w:line="252" w:lineRule="auto"/>
              <w:jc w:val="left"/>
            </w:pPr>
            <w:r>
              <w:rPr>
                <w:color w:val="C53030"/>
                <w:b/>
              </w:rPr>
            </w:r>
            <w:r>
              <w:rPr>
                <w:rFonts w:ascii="Arial" w:hAnsi="Arial"/>
                <w:b w:val="0"/>
                <w:i w:val="0"/>
                <w:color w:val="C53030"/>
                <w:sz w:val="18"/>
              </w:rPr>
              <w:t xml:space="preserve">Failed</w:t>
            </w:r>
          </w:p>
        </w:tc>
        <w:tc>
          <w:tcPr>
            <w:tcW w:type="dxa" w:w="5260"/>
          </w:tcPr>
          <w:p>
            <w:pPr>
              <w:spacing w:before="0" w:after="0" w:line="252" w:lineRule="auto"/>
              <w:jc w:val="left"/>
            </w:pPr>
            <w:r/>
            <w:r>
              <w:rPr>
                <w:rFonts w:ascii="Arial" w:hAnsi="Arial"/>
                <w:b w:val="0"/>
                <w:i w:val="0"/>
                <w:color w:val="1F2937"/>
                <w:sz w:val="18"/>
              </w:rPr>
              <w:t xml:space="preserve">QuoteLineTrigger 69.70%; QuoteLineGroupAsyncHelper 7.69%; each selected component requires at least 75%.</w:t>
            </w:r>
          </w:p>
        </w:tc>
      </w:tr>
      <w:tr>
        <w:tc>
          <w:tcPr>
            <w:tcW w:type="dxa" w:w="1750"/>
          </w:tcPr>
          <w:p>
            <w:pPr>
              <w:spacing w:before="0" w:after="0" w:line="252" w:lineRule="auto"/>
              <w:jc w:val="left"/>
            </w:pPr>
            <w:r/>
            <w:r>
              <w:rPr>
                <w:rFonts w:ascii="Arial" w:hAnsi="Arial"/>
                <w:b w:val="0"/>
                <w:i w:val="0"/>
                <w:color w:val="1F2937"/>
                <w:sz w:val="18"/>
              </w:rPr>
              <w:t xml:space="preserve">Focused test run</w:t>
            </w:r>
          </w:p>
        </w:tc>
        <w:tc>
          <w:tcPr>
            <w:tcW w:type="dxa" w:w="2350"/>
            <w:shd w:fill="E4F3EE"/>
          </w:tcPr>
          <w:p>
            <w:pPr>
              <w:spacing w:before="0" w:after="0" w:line="252" w:lineRule="auto"/>
              <w:jc w:val="left"/>
            </w:pPr>
            <w:r>
              <w:rPr>
                <w:color w:val="138A72"/>
                <w:b/>
              </w:rPr>
            </w:r>
            <w:r>
              <w:rPr>
                <w:rFonts w:ascii="Arial" w:hAnsi="Arial"/>
                <w:b w:val="0"/>
                <w:i w:val="0"/>
                <w:color w:val="138A72"/>
                <w:sz w:val="18"/>
              </w:rPr>
              <w:t xml:space="preserve">Passed</w:t>
            </w:r>
          </w:p>
        </w:tc>
        <w:tc>
          <w:tcPr>
            <w:tcW w:type="dxa" w:w="5260"/>
          </w:tcPr>
          <w:p>
            <w:pPr>
              <w:spacing w:before="0" w:after="0" w:line="252" w:lineRule="auto"/>
              <w:jc w:val="left"/>
            </w:pPr>
            <w:r/>
            <w:r>
              <w:rPr>
                <w:rFonts w:ascii="Arial" w:hAnsi="Arial"/>
                <w:b w:val="0"/>
                <w:i w:val="0"/>
                <w:color w:val="1F2937"/>
                <w:sz w:val="18"/>
              </w:rPr>
              <w:t xml:space="preserve">Job 707hG00000LhjKT; 100% pass rate; org-wide coverage 30%.</w:t>
            </w:r>
          </w:p>
        </w:tc>
      </w:tr>
    </w:tbl>
    <w:p>
      <w:pPr>
        <w:spacing w:after="20"/>
      </w:pPr>
    </w:p>
    <w:p>
      <w:pPr>
        <w:pStyle w:val="Heading2"/>
        <w:keepNext/>
      </w:pPr>
      <w:r>
        <w:t xml:space="preserve">2. Exact approval blockers</w:t>
      </w:r>
    </w:p>
    <w:tbl>
      <w:tblPr>
        <w:tblStyle w:val="TableGrid"/>
        <w:tblW w:type="dxa" w:w="9360"/>
        <w:jc w:val="left"/>
        <w:tblLayout w:type="fixed"/>
        <w:tblLook w:firstColumn="1" w:firstRow="1" w:lastColumn="0" w:lastRow="0" w:noHBand="0" w:noVBand="1" w:val="04A0"/>
        <w:tblInd w:w="120" w:type="dxa"/>
      </w:tblPr>
      <w:tblGrid>
        <w:gridCol w:w="2450"/>
        <w:gridCol w:w="1600"/>
        <w:gridCol w:w="5310"/>
      </w:tblGrid>
      <w:tr>
        <w:trPr>
          <w:tblHeader w:val="true"/>
        </w:trPr>
        <w:tc>
          <w:tcPr>
            <w:tcW w:type="dxa" w:w="245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 xml:space="preserve">Blocker</w:t>
            </w:r>
          </w:p>
        </w:tc>
        <w:tc>
          <w:tcPr>
            <w:tcW w:type="dxa" w:w="160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 xml:space="preserve">Impact</w:t>
            </w:r>
          </w:p>
        </w:tc>
        <w:tc>
          <w:tcPr>
            <w:tcW w:type="dxa" w:w="531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 xml:space="preserve">Exact evidence</w:t>
            </w:r>
          </w:p>
        </w:tc>
      </w:tr>
      <w:tr>
        <w:tc>
          <w:tcPr>
            <w:tcW w:type="dxa" w:w="2450"/>
          </w:tcPr>
          <w:p>
            <w:pPr>
              <w:spacing w:before="0" w:after="0" w:line="252" w:lineRule="auto"/>
              <w:jc w:val="left"/>
            </w:pPr>
            <w:r/>
            <w:r>
              <w:rPr>
                <w:rFonts w:ascii="Arial" w:hAnsi="Arial"/>
                <w:b w:val="0"/>
                <w:i w:val="0"/>
                <w:color w:val="1F2937"/>
                <w:sz w:val="18"/>
              </w:rPr>
              <w:t xml:space="preserve">Deployment coverage</w:t>
            </w:r>
          </w:p>
        </w:tc>
        <w:tc>
          <w:tcPr>
            <w:tcW w:type="dxa" w:w="1600"/>
            <w:shd w:fill="FDE8E8"/>
          </w:tcPr>
          <w:p>
            <w:pPr>
              <w:spacing w:before="0" w:after="0" w:line="252" w:lineRule="auto"/>
              <w:jc w:val="center"/>
            </w:pPr>
            <w:r>
              <w:rPr>
                <w:color w:val="C53030"/>
                <w:b/>
              </w:rPr>
            </w:r>
            <w:r>
              <w:rPr>
                <w:rFonts w:ascii="Arial" w:hAnsi="Arial"/>
                <w:b/>
                <w:i w:val="0"/>
                <w:color w:val="C53030"/>
                <w:sz w:val="19"/>
              </w:rPr>
              <w:t xml:space="preserve">Hard fail</w:t>
            </w:r>
          </w:p>
        </w:tc>
        <w:tc>
          <w:tcPr>
            <w:tcW w:type="dxa" w:w="5310"/>
          </w:tcPr>
          <w:p>
            <w:pPr>
              <w:spacing w:before="0" w:after="0" w:line="252" w:lineRule="auto"/>
              <w:jc w:val="left"/>
            </w:pPr>
            <w:r/>
            <w:r>
              <w:rPr>
                <w:rFonts w:ascii="Arial" w:hAnsi="Arial"/>
                <w:b w:val="0"/>
                <w:i w:val="0"/>
                <w:color w:val="1F2937"/>
                <w:sz w:val="18"/>
              </w:rPr>
              <w:t xml:space="preserve">QuoteLineTrigger has 33 executable locations with 10 uncovered; helper has 13 with 12 uncovered.</w:t>
            </w:r>
          </w:p>
        </w:tc>
      </w:tr>
      <w:tr>
        <w:tc>
          <w:tcPr>
            <w:tcW w:type="dxa" w:w="2450"/>
          </w:tcPr>
          <w:p>
            <w:pPr>
              <w:spacing w:before="0" w:after="0" w:line="252" w:lineRule="auto"/>
              <w:jc w:val="left"/>
            </w:pPr>
            <w:r/>
            <w:r>
              <w:rPr>
                <w:rFonts w:ascii="Arial" w:hAnsi="Arial"/>
                <w:b w:val="0"/>
                <w:i w:val="0"/>
                <w:color w:val="1F2937"/>
                <w:sz w:val="18"/>
              </w:rPr>
              <w:t xml:space="preserve">Cross-object DML</w:t>
            </w:r>
          </w:p>
        </w:tc>
        <w:tc>
          <w:tcPr>
            <w:tcW w:type="dxa" w:w="1600"/>
            <w:shd w:fill="FFF4D6"/>
          </w:tcPr>
          <w:p>
            <w:pPr>
              <w:spacing w:before="0" w:after="0" w:line="252" w:lineRule="auto"/>
              <w:jc w:val="center"/>
            </w:pPr>
            <w:r>
              <w:rPr>
                <w:color w:val="B7791F"/>
                <w:b/>
              </w:rPr>
            </w:r>
            <w:r>
              <w:rPr>
                <w:rFonts w:ascii="Arial" w:hAnsi="Arial"/>
                <w:b/>
                <w:i w:val="0"/>
                <w:color w:val="B7791F"/>
                <w:sz w:val="19"/>
              </w:rPr>
              <w:t xml:space="preserve">Runtime risk</w:t>
            </w:r>
          </w:p>
        </w:tc>
        <w:tc>
          <w:tcPr>
            <w:tcW w:type="dxa" w:w="5310"/>
          </w:tcPr>
          <w:p>
            <w:pPr>
              <w:spacing w:before="0" w:after="0" w:line="252" w:lineRule="auto"/>
              <w:jc w:val="left"/>
            </w:pPr>
            <w:r/>
            <w:r>
              <w:rPr>
                <w:rFonts w:ascii="Arial" w:hAnsi="Arial"/>
                <w:b w:val="0"/>
                <w:i w:val="0"/>
                <w:color w:val="1F2937"/>
                <w:sz w:val="18"/>
              </w:rPr>
              <w:t xml:space="preserve">OLI after insert calls Database.update on Quote Lines, re-entering the managed SBQQ after-update lifecycle.</w:t>
            </w:r>
          </w:p>
        </w:tc>
      </w:tr>
      <w:tr>
        <w:tc>
          <w:tcPr>
            <w:tcW w:type="dxa" w:w="2450"/>
          </w:tcPr>
          <w:p>
            <w:pPr>
              <w:spacing w:before="0" w:after="0" w:line="252" w:lineRule="auto"/>
              <w:jc w:val="left"/>
            </w:pPr>
            <w:r/>
            <w:r>
              <w:rPr>
                <w:rFonts w:ascii="Arial" w:hAnsi="Arial"/>
                <w:b w:val="0"/>
                <w:i w:val="0"/>
                <w:color w:val="1F2937"/>
                <w:sz w:val="18"/>
              </w:rPr>
              <w:t xml:space="preserve">Silent failure handling</w:t>
            </w:r>
          </w:p>
        </w:tc>
        <w:tc>
          <w:tcPr>
            <w:tcW w:type="dxa" w:w="1600"/>
            <w:shd w:fill="FFF4D6"/>
          </w:tcPr>
          <w:p>
            <w:pPr>
              <w:spacing w:before="0" w:after="0" w:line="252" w:lineRule="auto"/>
              <w:jc w:val="center"/>
            </w:pPr>
            <w:r>
              <w:rPr>
                <w:color w:val="B7791F"/>
                <w:b/>
              </w:rPr>
            </w:r>
            <w:r>
              <w:rPr>
                <w:rFonts w:ascii="Arial" w:hAnsi="Arial"/>
                <w:b/>
                <w:i w:val="0"/>
                <w:color w:val="B7791F"/>
                <w:sz w:val="19"/>
              </w:rPr>
              <w:t xml:space="preserve">Data risk</w:t>
            </w:r>
          </w:p>
        </w:tc>
        <w:tc>
          <w:tcPr>
            <w:tcW w:type="dxa" w:w="5310"/>
          </w:tcPr>
          <w:p>
            <w:pPr>
              <w:spacing w:before="0" w:after="0" w:line="252" w:lineRule="auto"/>
              <w:jc w:val="left"/>
            </w:pPr>
            <w:r/>
            <w:r>
              <w:rPr>
                <w:rFonts w:ascii="Arial" w:hAnsi="Arial"/>
                <w:b w:val="0"/>
                <w:i w:val="0"/>
                <w:color w:val="1F2937"/>
                <w:sz w:val="18"/>
              </w:rPr>
              <w:t xml:space="preserve">Database.update(..., false) SaveResults are ignored; guard reset is not protected by finally.</w:t>
            </w:r>
          </w:p>
        </w:tc>
      </w:tr>
    </w:tbl>
    <w:p>
      <w:pPr>
        <w:spacing w:after="20"/>
      </w:pPr>
    </w:p>
    <w:p>
      <w:pPr>
        <w:pStyle w:val="Heading2"/>
        <w:keepNext/>
      </w:pPr>
      <w:r>
        <w:t xml:space="preserve">3. Code and test-quality findings</w:t>
      </w:r>
    </w:p>
    <w:tbl>
      <w:tblPr>
        <w:tblStyle w:val="TableGrid"/>
        <w:tblW w:type="dxa" w:w="9360"/>
        <w:jc w:val="left"/>
        <w:tblLayout w:type="fixed"/>
        <w:tblLook w:firstColumn="1" w:firstRow="1" w:lastColumn="0" w:lastRow="0" w:noHBand="0" w:noVBand="1" w:val="04A0"/>
        <w:tblInd w:w="120" w:type="dxa"/>
      </w:tblPr>
      <w:tblGrid>
        <w:gridCol w:w="2200"/>
        <w:gridCol w:w="1900"/>
        <w:gridCol w:w="5260"/>
      </w:tblGrid>
      <w:tr>
        <w:trPr>
          <w:tblHeader w:val="true"/>
        </w:trPr>
        <w:tc>
          <w:tcPr>
            <w:tcW w:type="dxa" w:w="220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 xml:space="preserve">Area</w:t>
            </w:r>
          </w:p>
        </w:tc>
        <w:tc>
          <w:tcPr>
            <w:tcW w:type="dxa" w:w="190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 xml:space="preserve">Status</w:t>
            </w:r>
          </w:p>
        </w:tc>
        <w:tc>
          <w:tcPr>
            <w:tcW w:type="dxa" w:w="526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 xml:space="preserve">Evidence / required action</w:t>
            </w:r>
          </w:p>
        </w:tc>
      </w:tr>
      <w:tr>
        <w:tc>
          <w:tcPr>
            <w:tcW w:type="dxa" w:w="2200"/>
          </w:tcPr>
          <w:p>
            <w:pPr>
              <w:spacing w:before="0" w:after="0" w:line="252" w:lineRule="auto"/>
              <w:jc w:val="left"/>
            </w:pPr>
            <w:r/>
            <w:r>
              <w:rPr>
                <w:rFonts w:ascii="Arial" w:hAnsi="Arial"/>
                <w:b w:val="0"/>
                <w:i w:val="0"/>
                <w:color w:val="1F2937"/>
                <w:sz w:val="18"/>
              </w:rPr>
              <w:t xml:space="preserve">Fallback overload</w:t>
            </w:r>
          </w:p>
        </w:tc>
        <w:tc>
          <w:tcPr>
            <w:tcW w:type="dxa" w:w="1900"/>
            <w:shd w:fill="FDE8E8"/>
          </w:tcPr>
          <w:p>
            <w:pPr>
              <w:spacing w:before="0" w:after="0" w:line="252" w:lineRule="auto"/>
              <w:jc w:val="center"/>
            </w:pPr>
            <w:r>
              <w:rPr>
                <w:color w:val="C53030"/>
                <w:b/>
              </w:rPr>
            </w:r>
            <w:r>
              <w:rPr>
                <w:rFonts w:ascii="Arial" w:hAnsi="Arial"/>
                <w:b/>
                <w:i w:val="0"/>
                <w:color w:val="C53030"/>
                <w:sz w:val="19"/>
              </w:rPr>
              <w:t xml:space="preserve">Defect</w:t>
            </w:r>
          </w:p>
        </w:tc>
        <w:tc>
          <w:tcPr>
            <w:tcW w:type="dxa" w:w="5260"/>
          </w:tcPr>
          <w:p>
            <w:pPr>
              <w:spacing w:before="0" w:after="0" w:line="252" w:lineRule="auto"/>
              <w:jc w:val="left"/>
            </w:pPr>
            <w:r/>
            <w:r>
              <w:rPr>
                <w:rFonts w:ascii="Arial" w:hAnsi="Arial"/>
                <w:b w:val="0"/>
                <w:i w:val="0"/>
                <w:color w:val="1F2937"/>
                <w:sz w:val="18"/>
              </w:rPr>
              <w:t xml:space="preserve">When relationship data is absent, processOliIdSync(List) adds Quote Line IDs to the quote-ID set; its test asserts only true.</w:t>
            </w:r>
          </w:p>
        </w:tc>
      </w:tr>
      <w:tr>
        <w:tc>
          <w:tcPr>
            <w:tcW w:type="dxa" w:w="2200"/>
          </w:tcPr>
          <w:p>
            <w:pPr>
              <w:spacing w:before="0" w:after="0" w:line="252" w:lineRule="auto"/>
              <w:jc w:val="left"/>
            </w:pPr>
            <w:r/>
            <w:r>
              <w:rPr>
                <w:rFonts w:ascii="Arial" w:hAnsi="Arial"/>
                <w:b w:val="0"/>
                <w:i w:val="0"/>
                <w:color w:val="1F2937"/>
                <w:sz w:val="18"/>
              </w:rPr>
              <w:t xml:space="preserve">Ramp key design</w:t>
            </w:r>
          </w:p>
        </w:tc>
        <w:tc>
          <w:tcPr>
            <w:tcW w:type="dxa" w:w="1900"/>
            <w:shd w:fill="FFF4D6"/>
          </w:tcPr>
          <w:p>
            <w:pPr>
              <w:spacing w:before="0" w:after="0" w:line="252" w:lineRule="auto"/>
              <w:jc w:val="center"/>
            </w:pPr>
            <w:r>
              <w:rPr>
                <w:color w:val="B7791F"/>
                <w:b/>
              </w:rPr>
            </w:r>
            <w:r>
              <w:rPr>
                <w:rFonts w:ascii="Arial" w:hAnsi="Arial"/>
                <w:b/>
                <w:i w:val="0"/>
                <w:color w:val="B7791F"/>
                <w:sz w:val="19"/>
              </w:rPr>
              <w:t xml:space="preserve">Risk</w:t>
            </w:r>
          </w:p>
        </w:tc>
        <w:tc>
          <w:tcPr>
            <w:tcW w:type="dxa" w:w="5260"/>
          </w:tcPr>
          <w:p>
            <w:pPr>
              <w:spacing w:before="0" w:after="0" w:line="252" w:lineRule="auto"/>
              <w:jc w:val="left"/>
            </w:pPr>
            <w:r/>
            <w:r>
              <w:rPr>
                <w:rFonts w:ascii="Arial" w:hAnsi="Arial"/>
                <w:b w:val="0"/>
                <w:i w:val="0"/>
                <w:color w:val="1F2937"/>
                <w:sz w:val="18"/>
              </w:rPr>
              <w:t xml:space="preserve">Before-insert mapping keys only quote plus product and uses ordered slots; repeated products in multiple bundles can be ambiguous.</w:t>
            </w:r>
          </w:p>
        </w:tc>
      </w:tr>
      <w:tr>
        <w:tc>
          <w:tcPr>
            <w:tcW w:type="dxa" w:w="2200"/>
          </w:tcPr>
          <w:p>
            <w:pPr>
              <w:spacing w:before="0" w:after="0" w:line="252" w:lineRule="auto"/>
              <w:jc w:val="left"/>
            </w:pPr>
            <w:r/>
            <w:r>
              <w:rPr>
                <w:rFonts w:ascii="Arial" w:hAnsi="Arial"/>
                <w:b w:val="0"/>
                <w:i w:val="0"/>
                <w:color w:val="1F2937"/>
                <w:sz w:val="18"/>
              </w:rPr>
              <w:t xml:space="preserve">Exception handling</w:t>
            </w:r>
          </w:p>
        </w:tc>
        <w:tc>
          <w:tcPr>
            <w:tcW w:type="dxa" w:w="1900"/>
            <w:shd w:fill="FFF4D6"/>
          </w:tcPr>
          <w:p>
            <w:pPr>
              <w:spacing w:before="0" w:after="0" w:line="252" w:lineRule="auto"/>
              <w:jc w:val="center"/>
            </w:pPr>
            <w:r>
              <w:rPr>
                <w:color w:val="B7791F"/>
                <w:b/>
              </w:rPr>
            </w:r>
            <w:r>
              <w:rPr>
                <w:rFonts w:ascii="Arial" w:hAnsi="Arial"/>
                <w:b/>
                <w:i w:val="0"/>
                <w:color w:val="B7791F"/>
                <w:sz w:val="19"/>
              </w:rPr>
              <w:t xml:space="preserve">Risk</w:t>
            </w:r>
          </w:p>
        </w:tc>
        <w:tc>
          <w:tcPr>
            <w:tcW w:type="dxa" w:w="5260"/>
          </w:tcPr>
          <w:p>
            <w:pPr>
              <w:spacing w:before="0" w:after="0" w:line="252" w:lineRule="auto"/>
              <w:jc w:val="left"/>
            </w:pPr>
            <w:r/>
            <w:r>
              <w:rPr>
                <w:rFonts w:ascii="Arial" w:hAnsi="Arial"/>
                <w:b w:val="0"/>
                <w:i w:val="0"/>
                <w:color w:val="1F2937"/>
                <w:sz w:val="18"/>
              </w:rPr>
              <w:t xml:space="preserve">copyOpportunityLineIdOnRamp catches all exceptions and only debugs, allowing quoting to continue with missing IDs.</w:t>
            </w:r>
          </w:p>
        </w:tc>
      </w:tr>
      <w:tr>
        <w:tc>
          <w:tcPr>
            <w:tcW w:type="dxa" w:w="2200"/>
          </w:tcPr>
          <w:p>
            <w:pPr>
              <w:spacing w:before="0" w:after="0" w:line="252" w:lineRule="auto"/>
              <w:jc w:val="left"/>
            </w:pPr>
            <w:r/>
            <w:r>
              <w:rPr>
                <w:rFonts w:ascii="Arial" w:hAnsi="Arial"/>
                <w:b w:val="0"/>
                <w:i w:val="0"/>
                <w:color w:val="1F2937"/>
                <w:sz w:val="18"/>
              </w:rPr>
              <w:t xml:space="preserve">Acceptance assertions</w:t>
            </w:r>
          </w:p>
        </w:tc>
        <w:tc>
          <w:tcPr>
            <w:tcW w:type="dxa" w:w="1900"/>
            <w:shd w:fill="FDE8E8"/>
          </w:tcPr>
          <w:p>
            <w:pPr>
              <w:spacing w:before="0" w:after="0" w:line="252" w:lineRule="auto"/>
              <w:jc w:val="center"/>
            </w:pPr>
            <w:r>
              <w:rPr>
                <w:color w:val="C53030"/>
                <w:b/>
              </w:rPr>
            </w:r>
            <w:r>
              <w:rPr>
                <w:rFonts w:ascii="Arial" w:hAnsi="Arial"/>
                <w:b/>
                <w:i w:val="0"/>
                <w:color w:val="C53030"/>
                <w:sz w:val="19"/>
              </w:rPr>
              <w:t xml:space="preserve">Missing</w:t>
            </w:r>
          </w:p>
        </w:tc>
        <w:tc>
          <w:tcPr>
            <w:tcW w:type="dxa" w:w="5260"/>
          </w:tcPr>
          <w:p>
            <w:pPr>
              <w:spacing w:before="0" w:after="0" w:line="252" w:lineRule="auto"/>
              <w:jc w:val="left"/>
            </w:pPr>
            <w:r/>
            <w:r>
              <w:rPr>
                <w:rFonts w:ascii="Arial" w:hAnsi="Arial"/>
                <w:b w:val="0"/>
                <w:i w:val="0"/>
                <w:color w:val="1F2937"/>
                <w:sz w:val="18"/>
              </w:rPr>
              <w:t xml:space="preserve">No exact ID equality/inequality assertions for price-change clones, ordinary clones, and all New/Amend/Renew paths.</w:t>
            </w:r>
          </w:p>
        </w:tc>
      </w:tr>
      <w:tr>
        <w:tc>
          <w:tcPr>
            <w:tcW w:type="dxa" w:w="2200"/>
          </w:tcPr>
          <w:p>
            <w:pPr>
              <w:spacing w:before="0" w:after="0" w:line="252" w:lineRule="auto"/>
              <w:jc w:val="left"/>
            </w:pPr>
            <w:r/>
            <w:r>
              <w:rPr>
                <w:rFonts w:ascii="Arial" w:hAnsi="Arial"/>
                <w:b w:val="0"/>
                <w:i w:val="0"/>
                <w:color w:val="1F2937"/>
                <w:sz w:val="18"/>
              </w:rPr>
              <w:t xml:space="preserve">SALDEV-1427 overlap</w:t>
            </w:r>
          </w:p>
        </w:tc>
        <w:tc>
          <w:tcPr>
            <w:tcW w:type="dxa" w:w="1900"/>
            <w:shd w:fill="FFF4D6"/>
          </w:tcPr>
          <w:p>
            <w:pPr>
              <w:spacing w:before="0" w:after="0" w:line="252" w:lineRule="auto"/>
              <w:jc w:val="center"/>
            </w:pPr>
            <w:r>
              <w:rPr>
                <w:color w:val="B7791F"/>
                <w:b/>
              </w:rPr>
            </w:r>
            <w:r>
              <w:rPr>
                <w:rFonts w:ascii="Arial" w:hAnsi="Arial"/>
                <w:b/>
                <w:i w:val="0"/>
                <w:color w:val="B7791F"/>
                <w:sz w:val="19"/>
              </w:rPr>
              <w:t xml:space="preserve">Unscoped</w:t>
            </w:r>
          </w:p>
        </w:tc>
        <w:tc>
          <w:tcPr>
            <w:tcW w:type="dxa" w:w="5260"/>
          </w:tcPr>
          <w:p>
            <w:pPr>
              <w:spacing w:before="0" w:after="0" w:line="252" w:lineRule="auto"/>
              <w:jc w:val="left"/>
            </w:pPr>
            <w:r/>
            <w:r>
              <w:rPr>
                <w:rFonts w:ascii="Arial" w:hAnsi="Arial"/>
                <w:b w:val="0"/>
                <w:i w:val="0"/>
                <w:color w:val="1F2937"/>
                <w:sz w:val="18"/>
              </w:rPr>
              <w:t xml:space="preserve">The ticket says part of SALDEV-1427 is covered, but the promoted component/test boundary and ownership are not defined.</w:t>
            </w:r>
          </w:p>
        </w:tc>
      </w:tr>
    </w:tbl>
    <w:p>
      <w:pPr>
        <w:spacing w:after="20"/>
      </w:pPr>
    </w:p>
    <w:p>
      <w:r>
        <w:br w:type="page"/>
      </w:r>
    </w:p>
    <w:p>
      <w:pPr>
        <w:pStyle w:val="Heading1"/>
        <w:keepNext/>
      </w:pPr>
      <w:r>
        <w:t xml:space="preserve">Safe replacement and proof model</w:t>
      </w:r>
    </w:p>
    <w:p>
      <w:pPr>
        <w:spacing w:after="120" w:line="264" w:lineRule="auto"/>
      </w:pPr>
      <w:r>
        <w:rPr>
          <w:rFonts w:ascii="Arial" w:hAnsi="Arial"/>
          <w:b w:val="0"/>
          <w:i w:val="0"/>
          <w:color w:val="1F2937"/>
          <w:sz w:val="22"/>
        </w:rPr>
        <w:t xml:space="preserve">The fix should establish identifiers before CPQ-managed after-update work, make mapping deterministic for duplicate bundle structures, surface partial DML failures, and test every lifecycle outcome explicitly.</w:t>
      </w:r>
    </w:p>
    <w:p>
      <w:pPr>
        <w:keepNext/>
        <w:jc w:val="center"/>
      </w:pPr>
      <w:r>
        <w:drawing>
          <wp:inline xmlns:a="http://schemas.openxmlformats.org/drawingml/2006/main" xmlns:pic="http://schemas.openxmlformats.org/drawingml/2006/picture">
            <wp:extent cx="5897880" cy="4054792"/>
            <wp:docPr id="2" name="Picture 2" title="Figure 2. SCC-3385 Work Order creation and dependency model" descr="Architecture diagram relating Trouble Ticket Case prerequisites, the Create Work Order Flow, WorkOrder fields, Case activity logging, duplicate prevention, WorkOrder layouts, and the preserved Book Appointment action. Blockers are shown in red or amber."/>
            <wp:cNvGraphicFramePr>
              <a:graphicFrameLocks noChangeAspect="1"/>
            </wp:cNvGraphicFramePr>
            <a:graphic>
              <a:graphicData uri="http://schemas.openxmlformats.org/drawingml/2006/picture">
                <pic:pic>
                  <pic:nvPicPr>
                    <pic:cNvPr id="0" name="scc3385-work-order-model.png"/>
                    <pic:cNvPicPr/>
                  </pic:nvPicPr>
                  <pic:blipFill>
                    <a:blip r:embed="rId18"/>
                    <a:stretch>
                      <a:fillRect/>
                    </a:stretch>
                  </pic:blipFill>
                  <pic:spPr>
                    <a:xfrm>
                      <a:off x="0" y="0"/>
                      <a:ext cx="5897880" cy="4054792"/>
                    </a:xfrm>
                    <a:prstGeom prst="rect"/>
                  </pic:spPr>
                </pic:pic>
              </a:graphicData>
            </a:graphic>
          </wp:inline>
        </w:drawing>
      </w:r>
    </w:p>
    <w:p>
      <w:pPr>
        <w:keepNext/>
        <w:spacing w:before="40" w:after="160"/>
        <w:jc w:val="center"/>
      </w:pPr>
      <w:r>
        <w:rPr>
          <w:rFonts w:ascii="Arial" w:hAnsi="Arial"/>
          <w:b w:val="0"/>
          <w:i/>
          <w:color w:val="5B6777"/>
          <w:sz w:val="18"/>
        </w:rPr>
        <w:t xml:space="preserve">Figure 2. SALDEV-1467 acceptance-evidence gap and required scenario matrix</w:t>
      </w:r>
    </w:p>
    <w:p>
      <w:pPr>
        <w:spacing w:after="120" w:line="264" w:lineRule="auto"/>
      </w:pPr>
      <w:r>
        <w:rPr>
          <w:rFonts w:ascii="Arial" w:hAnsi="Arial"/>
          <w:b/>
          <w:i w:val="0"/>
          <w:color w:val="1F2937"/>
          <w:sz w:val="22"/>
        </w:rPr>
        <w:t xml:space="preserve">Architect interpretation:</w:t>
      </w:r>
      <w:r>
        <w:rPr>
          <w:rFonts w:ascii="Arial" w:hAnsi="Arial"/>
          <w:b w:val="0"/>
          <w:i w:val="0"/>
          <w:color w:val="1F2937"/>
          <w:sz w:val="22"/>
        </w:rPr>
        <w:t xml:space="preserve"> the implementation is not release-ready. Passing tests show executable code, but the failed coverage gate and unchanged cross-object DML pattern leave both deployment and runtime acceptance unresolved.</w:t>
      </w:r>
    </w:p>
    <w:p>
      <w:r>
        <w:br w:type="page"/>
      </w:r>
    </w:p>
    <w:p>
      <w:pPr>
        <w:pStyle w:val="Heading1"/>
        <w:keepNext/>
      </w:pPr>
      <w:r>
        <w:t xml:space="preserve">Required approval gates</w:t>
      </w:r>
    </w:p>
    <w:tbl>
      <w:tblPr>
        <w:tblStyle w:val="TableGrid"/>
        <w:tblW w:type="dxa" w:w="9360"/>
        <w:jc w:val="left"/>
        <w:tblLayout w:type="fixed"/>
        <w:tblLook w:firstColumn="1" w:firstRow="1" w:lastColumn="0" w:lastRow="0" w:noHBand="0" w:noVBand="1" w:val="04A0"/>
        <w:tblInd w:w="120" w:type="dxa"/>
      </w:tblPr>
      <w:tblGrid>
        <w:gridCol w:w="850"/>
        <w:gridCol w:w="2500"/>
        <w:gridCol w:w="2000"/>
        <w:gridCol w:w="4010"/>
      </w:tblGrid>
      <w:tr>
        <w:trPr>
          <w:tblHeader w:val="true"/>
        </w:trPr>
        <w:tc>
          <w:tcPr>
            <w:tcW w:type="dxa" w:w="85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Gate</w:t>
            </w:r>
          </w:p>
        </w:tc>
        <w:tc>
          <w:tcPr>
            <w:tcW w:type="dxa" w:w="250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Required action</w:t>
            </w:r>
          </w:p>
        </w:tc>
        <w:tc>
          <w:tcPr>
            <w:tcW w:type="dxa" w:w="200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Owner</w:t>
            </w:r>
          </w:p>
        </w:tc>
        <w:tc>
          <w:tcPr>
            <w:tcW w:type="dxa" w:w="4010"/>
            <w:tcMar>
              <w:top w:w="100" w:type="dxa"/>
              <w:start w:w="140" w:type="dxa"/>
              <w:bottom w:w="100" w:type="dxa"/>
              <w:end w:w="140" w:type="dxa"/>
            </w:tcMar>
            <w:vAlign w:val="center"/>
            <w:shd w:fill="F2F4F7"/>
          </w:tcPr>
          <w:p>
            <w:pPr>
              <w:spacing w:before="0" w:after="0" w:line="252" w:lineRule="auto"/>
              <w:jc w:val="left"/>
            </w:pPr>
            <w:r/>
            <w:r>
              <w:rPr>
                <w:rFonts w:ascii="Arial" w:hAnsi="Arial"/>
                <w:b/>
                <w:i w:val="0"/>
                <w:color w:val="0B2545"/>
                <w:sz w:val="19"/>
              </w:rPr>
              <w:t>Evidence needed</w:t>
            </w:r>
          </w:p>
        </w:tc>
      </w:tr>
      <w:tr>
        <w:tc>
          <w:tcPr>
            <w:tcW w:type="dxa" w:w="850"/>
          </w:tcPr>
          <w:p>
            <w:pPr>
              <w:spacing w:before="0" w:after="0" w:line="252" w:lineRule="auto"/>
              <w:jc w:val="left"/>
            </w:pPr>
            <w:r/>
            <w:r>
              <w:rPr>
                <w:rFonts w:ascii="Arial" w:hAnsi="Arial"/>
                <w:b w:val="0"/>
                <w:i w:val="0"/>
                <w:color w:val="1F2937"/>
                <w:sz w:val="18"/>
              </w:rPr>
              <w:t>1</w:t>
            </w:r>
          </w:p>
        </w:tc>
        <w:tc>
          <w:tcPr>
            <w:tcW w:type="dxa" w:w="2500"/>
          </w:tcPr>
          <w:p>
            <w:pPr>
              <w:spacing w:before="0" w:after="0" w:line="252" w:lineRule="auto"/>
              <w:jc w:val="left"/>
            </w:pPr>
            <w:r/>
            <w:r>
              <w:rPr>
                <w:rFonts w:ascii="Arial" w:hAnsi="Arial"/>
                <w:b w:val="0"/>
                <w:i w:val="0"/>
                <w:color w:val="1F2937"/>
                <w:sz w:val="18"/>
              </w:rPr>
              <w:t xml:space="preserve">Remove re-entry risk</w:t>
            </w:r>
          </w:p>
        </w:tc>
        <w:tc>
          <w:tcPr>
            <w:tcW w:type="dxa" w:w="2000"/>
          </w:tcPr>
          <w:p>
            <w:pPr>
              <w:spacing w:before="0" w:after="0" w:line="252" w:lineRule="auto"/>
              <w:jc w:val="left"/>
            </w:pPr>
            <w:r/>
            <w:r>
              <w:rPr>
                <w:rFonts w:ascii="Arial" w:hAnsi="Arial"/>
                <w:b w:val="0"/>
                <w:i w:val="0"/>
                <w:color w:val="1F2937"/>
                <w:sz w:val="18"/>
              </w:rPr>
              <w:t xml:space="preserve">Developer / CPQ architect</w:t>
            </w:r>
          </w:p>
        </w:tc>
        <w:tc>
          <w:tcPr>
            <w:tcW w:type="dxa" w:w="4010"/>
          </w:tcPr>
          <w:p>
            <w:pPr>
              <w:spacing w:before="0" w:after="0" w:line="252" w:lineRule="auto"/>
              <w:jc w:val="left"/>
            </w:pPr>
            <w:r/>
            <w:r>
              <w:rPr>
                <w:rFonts w:ascii="Arial" w:hAnsi="Arial"/>
                <w:b w:val="0"/>
                <w:i w:val="0"/>
                <w:color w:val="1F2937"/>
                <w:sz w:val="18"/>
              </w:rPr>
              <w:t xml:space="preserve">Redesign the OLI-to-Quote-Line sync so the fix does not issue Quote Line DML from OLI after insert in the CPQ transaction.</w:t>
            </w:r>
          </w:p>
        </w:tc>
      </w:tr>
      <w:tr>
        <w:tc>
          <w:tcPr>
            <w:tcW w:type="dxa" w:w="850"/>
          </w:tcPr>
          <w:p>
            <w:pPr>
              <w:spacing w:before="0" w:after="0" w:line="252" w:lineRule="auto"/>
              <w:jc w:val="left"/>
            </w:pPr>
            <w:r/>
            <w:r>
              <w:rPr>
                <w:rFonts w:ascii="Arial" w:hAnsi="Arial"/>
                <w:b w:val="0"/>
                <w:i w:val="0"/>
                <w:color w:val="1F2937"/>
                <w:sz w:val="18"/>
              </w:rPr>
              <w:t>2</w:t>
            </w:r>
          </w:p>
        </w:tc>
        <w:tc>
          <w:tcPr>
            <w:tcW w:type="dxa" w:w="2500"/>
          </w:tcPr>
          <w:p>
            <w:pPr>
              <w:spacing w:before="0" w:after="0" w:line="252" w:lineRule="auto"/>
              <w:jc w:val="left"/>
            </w:pPr>
            <w:r/>
            <w:r>
              <w:rPr>
                <w:rFonts w:ascii="Arial" w:hAnsi="Arial"/>
                <w:b w:val="0"/>
                <w:i w:val="0"/>
                <w:color w:val="1F2937"/>
                <w:sz w:val="18"/>
              </w:rPr>
              <w:t xml:space="preserve">Clear coverage gates</w:t>
            </w:r>
          </w:p>
        </w:tc>
        <w:tc>
          <w:tcPr>
            <w:tcW w:type="dxa" w:w="2000"/>
          </w:tcPr>
          <w:p>
            <w:pPr>
              <w:spacing w:before="0" w:after="0" w:line="252" w:lineRule="auto"/>
              <w:jc w:val="left"/>
            </w:pPr>
            <w:r/>
            <w:r>
              <w:rPr>
                <w:rFonts w:ascii="Arial" w:hAnsi="Arial"/>
                <w:b w:val="0"/>
                <w:i w:val="0"/>
                <w:color w:val="1F2937"/>
                <w:sz w:val="18"/>
              </w:rPr>
              <w:t xml:space="preserve">Developer</w:t>
            </w:r>
          </w:p>
        </w:tc>
        <w:tc>
          <w:tcPr>
            <w:tcW w:type="dxa" w:w="4010"/>
          </w:tcPr>
          <w:p>
            <w:pPr>
              <w:spacing w:before="0" w:after="0" w:line="252" w:lineRule="auto"/>
              <w:jc w:val="left"/>
            </w:pPr>
            <w:r/>
            <w:r>
              <w:rPr>
                <w:rFonts w:ascii="Arial" w:hAnsi="Arial"/>
                <w:b w:val="0"/>
                <w:i w:val="0"/>
                <w:color w:val="1F2937"/>
                <w:sz w:val="18"/>
              </w:rPr>
              <w:t xml:space="preserve">Raise QuoteLineTrigger and QuoteLineGroupAsyncHelper to at least 75% in the exact deployment payload.</w:t>
            </w:r>
          </w:p>
        </w:tc>
      </w:tr>
      <w:tr>
        <w:tc>
          <w:tcPr>
            <w:tcW w:type="dxa" w:w="850"/>
          </w:tcPr>
          <w:p>
            <w:pPr>
              <w:spacing w:before="0" w:after="0" w:line="252" w:lineRule="auto"/>
              <w:jc w:val="left"/>
            </w:pPr>
            <w:r/>
            <w:r>
              <w:rPr>
                <w:rFonts w:ascii="Arial" w:hAnsi="Arial"/>
                <w:b w:val="0"/>
                <w:i w:val="0"/>
                <w:color w:val="1F2937"/>
                <w:sz w:val="18"/>
              </w:rPr>
              <w:t>3</w:t>
            </w:r>
          </w:p>
        </w:tc>
        <w:tc>
          <w:tcPr>
            <w:tcW w:type="dxa" w:w="2500"/>
          </w:tcPr>
          <w:p>
            <w:pPr>
              <w:spacing w:before="0" w:after="0" w:line="252" w:lineRule="auto"/>
              <w:jc w:val="left"/>
            </w:pPr>
            <w:r/>
            <w:r>
              <w:rPr>
                <w:rFonts w:ascii="Arial" w:hAnsi="Arial"/>
                <w:b w:val="0"/>
                <w:i w:val="0"/>
                <w:color w:val="1F2937"/>
                <w:sz w:val="18"/>
              </w:rPr>
              <w:t xml:space="preserve">Assert acceptance rules</w:t>
            </w:r>
          </w:p>
        </w:tc>
        <w:tc>
          <w:tcPr>
            <w:tcW w:type="dxa" w:w="2000"/>
          </w:tcPr>
          <w:p>
            <w:pPr>
              <w:spacing w:before="0" w:after="0" w:line="252" w:lineRule="auto"/>
              <w:jc w:val="left"/>
            </w:pPr>
            <w:r/>
            <w:r>
              <w:rPr>
                <w:rFonts w:ascii="Arial" w:hAnsi="Arial"/>
                <w:b w:val="0"/>
                <w:i w:val="0"/>
                <w:color w:val="1F2937"/>
                <w:sz w:val="18"/>
              </w:rPr>
              <w:t xml:space="preserve">Developer / QA</w:t>
            </w:r>
          </w:p>
        </w:tc>
        <w:tc>
          <w:tcPr>
            <w:tcW w:type="dxa" w:w="4010"/>
          </w:tcPr>
          <w:p>
            <w:pPr>
              <w:spacing w:before="0" w:after="0" w:line="252" w:lineRule="auto"/>
              <w:jc w:val="left"/>
            </w:pPr>
            <w:r/>
            <w:r>
              <w:rPr>
                <w:rFonts w:ascii="Arial" w:hAnsi="Arial"/>
                <w:b w:val="0"/>
                <w:i w:val="0"/>
                <w:color w:val="1F2937"/>
                <w:sz w:val="18"/>
              </w:rPr>
              <w:t xml:space="preserve">Add exact same-ID and new-ID assertions for stepped, price-change, and ordinary clones across New, Amend, and Renew.</w:t>
            </w:r>
          </w:p>
        </w:tc>
      </w:tr>
      <w:tr>
        <w:tc>
          <w:tcPr>
            <w:tcW w:type="dxa" w:w="850"/>
          </w:tcPr>
          <w:p>
            <w:pPr>
              <w:spacing w:before="0" w:after="0" w:line="252" w:lineRule="auto"/>
              <w:jc w:val="left"/>
            </w:pPr>
            <w:r/>
            <w:r>
              <w:rPr>
                <w:rFonts w:ascii="Arial" w:hAnsi="Arial"/>
                <w:b w:val="0"/>
                <w:i w:val="0"/>
                <w:color w:val="1F2937"/>
                <w:sz w:val="18"/>
              </w:rPr>
              <w:t>4</w:t>
            </w:r>
          </w:p>
        </w:tc>
        <w:tc>
          <w:tcPr>
            <w:tcW w:type="dxa" w:w="2500"/>
          </w:tcPr>
          <w:p>
            <w:pPr>
              <w:spacing w:before="0" w:after="0" w:line="252" w:lineRule="auto"/>
              <w:jc w:val="left"/>
            </w:pPr>
            <w:r/>
            <w:r>
              <w:rPr>
                <w:rFonts w:ascii="Arial" w:hAnsi="Arial"/>
                <w:b w:val="0"/>
                <w:i w:val="0"/>
                <w:color w:val="1F2937"/>
                <w:sz w:val="18"/>
              </w:rPr>
              <w:t xml:space="preserve">Exercise CPQ scale</w:t>
            </w:r>
          </w:p>
        </w:tc>
        <w:tc>
          <w:tcPr>
            <w:tcW w:type="dxa" w:w="2000"/>
          </w:tcPr>
          <w:p>
            <w:pPr>
              <w:spacing w:before="0" w:after="0" w:line="252" w:lineRule="auto"/>
              <w:jc w:val="left"/>
            </w:pPr>
            <w:r/>
            <w:r>
              <w:rPr>
                <w:rFonts w:ascii="Arial" w:hAnsi="Arial"/>
                <w:b w:val="0"/>
                <w:i w:val="0"/>
                <w:color w:val="1F2937"/>
                <w:sz w:val="18"/>
              </w:rPr>
              <w:t xml:space="preserve">CPQ QA</w:t>
            </w:r>
          </w:p>
        </w:tc>
        <w:tc>
          <w:tcPr>
            <w:tcW w:type="dxa" w:w="4010"/>
          </w:tcPr>
          <w:p>
            <w:pPr>
              <w:spacing w:before="0" w:after="0" w:line="252" w:lineRule="auto"/>
              <w:jc w:val="left"/>
            </w:pPr>
            <w:r/>
            <w:r>
              <w:rPr>
                <w:rFonts w:ascii="Arial" w:hAnsi="Arial"/>
                <w:b w:val="0"/>
                <w:i w:val="0"/>
                <w:color w:val="1F2937"/>
                <w:sz w:val="18"/>
              </w:rPr>
              <w:t xml:space="preserve">Run representative large bundles and confirm no AsyncException, recursion, SOQL 101, or silent SaveResult failures.</w:t>
            </w:r>
          </w:p>
        </w:tc>
      </w:tr>
      <w:tr>
        <w:tc>
          <w:tcPr>
            <w:tcW w:type="dxa" w:w="850"/>
          </w:tcPr>
          <w:p>
            <w:pPr>
              <w:spacing w:before="0" w:after="0" w:line="252" w:lineRule="auto"/>
              <w:jc w:val="left"/>
            </w:pPr>
            <w:r/>
            <w:r>
              <w:rPr>
                <w:rFonts w:ascii="Arial" w:hAnsi="Arial"/>
                <w:b w:val="0"/>
                <w:i w:val="0"/>
                <w:color w:val="1F2937"/>
                <w:sz w:val="18"/>
              </w:rPr>
              <w:t>5</w:t>
            </w:r>
          </w:p>
        </w:tc>
        <w:tc>
          <w:tcPr>
            <w:tcW w:type="dxa" w:w="2500"/>
          </w:tcPr>
          <w:p>
            <w:pPr>
              <w:spacing w:before="0" w:after="0" w:line="252" w:lineRule="auto"/>
              <w:jc w:val="left"/>
            </w:pPr>
            <w:r/>
            <w:r>
              <w:rPr>
                <w:rFonts w:ascii="Arial" w:hAnsi="Arial"/>
                <w:b w:val="0"/>
                <w:i w:val="0"/>
                <w:color w:val="1F2937"/>
                <w:sz w:val="18"/>
              </w:rPr>
              <w:t xml:space="preserve">Bound SALDEV-1427</w:t>
            </w:r>
          </w:p>
        </w:tc>
        <w:tc>
          <w:tcPr>
            <w:tcW w:type="dxa" w:w="2000"/>
          </w:tcPr>
          <w:p>
            <w:pPr>
              <w:spacing w:before="0" w:after="0" w:line="252" w:lineRule="auto"/>
              <w:jc w:val="left"/>
            </w:pPr>
            <w:r/>
            <w:r>
              <w:rPr>
                <w:rFonts w:ascii="Arial" w:hAnsi="Arial"/>
                <w:b w:val="0"/>
                <w:i w:val="0"/>
                <w:color w:val="1F2937"/>
                <w:sz w:val="18"/>
              </w:rPr>
              <w:t xml:space="preserve">Product owner / Architect</w:t>
            </w:r>
          </w:p>
        </w:tc>
        <w:tc>
          <w:tcPr>
            <w:tcW w:type="dxa" w:w="4010"/>
          </w:tcPr>
          <w:p>
            <w:pPr>
              <w:spacing w:before="0" w:after="0" w:line="252" w:lineRule="auto"/>
              <w:jc w:val="left"/>
            </w:pPr>
            <w:r/>
            <w:r>
              <w:rPr>
                <w:rFonts w:ascii="Arial" w:hAnsi="Arial"/>
                <w:b w:val="0"/>
                <w:i w:val="0"/>
                <w:color w:val="1F2937"/>
                <w:sz w:val="18"/>
              </w:rPr>
              <w:t xml:space="preserve">Document which ramp-ID behavior belongs to SALDEV-1467 versus SALDEV-1427 and deploy/test them as one controlled dependency set.</w:t>
            </w:r>
          </w:p>
        </w:tc>
      </w:tr>
      <w:tr>
        <w:tc>
          <w:tcPr>
            <w:tcW w:type="dxa" w:w="850"/>
          </w:tcPr>
          <w:p>
            <w:pPr>
              <w:spacing w:before="0" w:after="0" w:line="252" w:lineRule="auto"/>
              <w:jc w:val="left"/>
            </w:pPr>
            <w:r/>
            <w:r>
              <w:rPr>
                <w:rFonts w:ascii="Arial" w:hAnsi="Arial"/>
                <w:b w:val="0"/>
                <w:i w:val="0"/>
                <w:color w:val="1F2937"/>
                <w:sz w:val="18"/>
              </w:rPr>
              <w:t>6</w:t>
            </w:r>
          </w:p>
        </w:tc>
        <w:tc>
          <w:tcPr>
            <w:tcW w:type="dxa" w:w="2500"/>
          </w:tcPr>
          <w:p>
            <w:pPr>
              <w:spacing w:before="0" w:after="0" w:line="252" w:lineRule="auto"/>
              <w:jc w:val="left"/>
            </w:pPr>
            <w:r/>
            <w:r>
              <w:rPr>
                <w:rFonts w:ascii="Arial" w:hAnsi="Arial"/>
                <w:b w:val="0"/>
                <w:i w:val="0"/>
                <w:color w:val="1F2937"/>
                <w:sz w:val="18"/>
              </w:rPr>
              <w:t xml:space="preserve">Revalidate and QA</w:t>
            </w:r>
          </w:p>
        </w:tc>
        <w:tc>
          <w:tcPr>
            <w:tcW w:type="dxa" w:w="2000"/>
          </w:tcPr>
          <w:p>
            <w:pPr>
              <w:spacing w:before="0" w:after="0" w:line="252" w:lineRule="auto"/>
              <w:jc w:val="left"/>
            </w:pPr>
            <w:r/>
            <w:r>
              <w:rPr>
                <w:rFonts w:ascii="Arial" w:hAnsi="Arial"/>
                <w:b w:val="0"/>
                <w:i w:val="0"/>
                <w:color w:val="1F2937"/>
                <w:sz w:val="18"/>
              </w:rPr>
              <w:t xml:space="preserve">Release manager / QA</w:t>
            </w:r>
          </w:p>
        </w:tc>
        <w:tc>
          <w:tcPr>
            <w:tcW w:type="dxa" w:w="4010"/>
          </w:tcPr>
          <w:p>
            <w:pPr>
              <w:spacing w:before="0" w:after="0" w:line="252" w:lineRule="auto"/>
              <w:jc w:val="left"/>
            </w:pPr>
            <w:r/>
            <w:r>
              <w:rPr>
                <w:rFonts w:ascii="Arial" w:hAnsi="Arial"/>
                <w:b w:val="0"/>
                <w:i w:val="0"/>
                <w:color w:val="1F2937"/>
                <w:sz w:val="18"/>
              </w:rPr>
              <w:t xml:space="preserve">Require a clean 10/10 check-only result, then execute named New/Amend/Renew scenarios with field-level evidence.</w:t>
            </w:r>
          </w:p>
        </w:tc>
      </w:tr>
    </w:tbl>
    <w:p>
      <w:pPr>
        <w:spacing w:after="20"/>
      </w:pPr>
    </w:p>
    <w:p>
      <w:pPr>
        <w:pStyle w:val="Heading1"/>
        <w:keepNext/>
      </w:pPr>
      <w:r>
        <w:t>Ready-to-paste architect response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EAF2FA"/>
          </w:tcPr>
          <w:p>
            <w:pPr>
              <w:spacing w:after="40"/>
            </w:pPr>
            <w:r>
              <w:rPr>
                <w:rFonts w:ascii="Arial" w:hAnsi="Arial"/>
                <w:b/>
                <w:i w:val="0"/>
                <w:color w:val="2E74B5"/>
                <w:sz w:val="18"/>
              </w:rPr>
              <w:t>STORY COMMENT</w:t>
            </w:r>
          </w:p>
          <w:p>
            <w:pPr>
              <w:spacing w:after="0" w:line="259" w:lineRule="auto"/>
            </w:pPr>
            <w:r>
              <w:rPr>
                <w:rFonts w:ascii="Arial" w:hAnsi="Arial"/>
                <w:b/>
                <w:i w:val="0"/>
                <w:color w:val="0B2545"/>
                <w:sz w:val="22"/>
              </w:rPr>
              <w:t xml:space="preserve">Architect review completed for SALDEV-1467 in FlywirePartial. Changes Requested / NO-GO. The original Flow is Obsolete and the scoped Apex compiles, but check-only job 0AfhG000001ZTplSAG failed: all 10 components compiled and all 16 specified test methods passed, yet QuoteLineTrigger is only 69.70% covered and QuoteLineGroupAsyncHelper is 7.69%, below the 75% requirement. More importantly, FWOpportunityLineItemTrigger still runs after insert and OpportunityLineItemTriggerHandler performs Database.update on SBQQ__QuoteLine__c, so the replacement retains the same CPQ after-update re-entry pattern implicated in the original AsyncException. SaveResults are not inspected, one fallback path treats a Quote Line ID as a Quote ID, and the tests do not assert the required same-ID/new-ID outcomes across New, Amendment, and Renewal cloning. Redesign the cross-object sync, fix coverage, add exact lifecycle assertions, clarify the SALDEV-1427 dependency, and repeat check-only plus representative CPQ bundle QA before approval.</w:t>
            </w:r>
          </w:p>
        </w:tc>
      </w:tr>
    </w:tbl>
    <w:p>
      <w:pPr>
        <w:spacing w:after="20"/>
      </w:pPr>
    </w:p>
    <w:p>
      <w:pPr>
        <w:pStyle w:val="Heading2"/>
        <w:keepNext/>
      </w:pPr>
      <w:r>
        <w:t>Evidence boundary</w:t>
      </w:r>
    </w:p>
    <w:p>
      <w:pPr>
        <w:spacing w:after="120" w:line="264" w:lineRule="auto"/>
      </w:pPr>
      <w:r>
        <w:rPr>
          <w:rFonts w:ascii="Arial" w:hAnsi="Arial"/>
          <w:b w:val="0"/>
          <w:i w:val="0"/>
          <w:color w:val="1F2937"/>
          <w:sz w:val="22"/>
        </w:rPr>
        <w:t xml:space="preserve">This assessment uses the SALDEV-1467 ticket text, read-only FlywirePartial identity verification, scoped metadata retrieval, focused Apex tests, source inspection, and a check-only validation. No records, deployment, activation, quick deploy, or org metadata changes were performed.</w:t>
      </w:r>
    </w:p>
    <w:sectPr w:rsidR="00FC693F" w:rsidRPr="0006063C" w:rsidSect="00034616">
      <w:headerReference w:type="default" r:id="rId9"/>
      <w:headerReference w:type="even" r:id="rId10"/>
      <w:headerReference w:type="first" r:id="rId11"/>
      <w:footerReference w:type="default" r:id="rId12"/>
      <w:footerReference w:type="even" r:id="rId13"/>
      <w:footerReference w:type="first" r:id="rId14"/>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Arial" w:hAnsi="Arial"/>
        <w:b w:val="0"/>
        <w:i w:val="0"/>
        <w:color w:val="5B6777"/>
        <w:sz w:val="18"/>
      </w:rPr>
      <w:t xml:space="preserve">FlywirePartial review  |  Page </w:t>
    </w:r>
    <w:r>
      <w:rPr>
        <w:rFonts w:ascii="Arial" w:hAnsi="Arial"/>
        <w:b w:val="0"/>
        <w:i w:val="0"/>
        <w:color w:val="5B6777"/>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Arial" w:hAnsi="Arial"/>
        <w:b w:val="0"/>
        <w:i w:val="0"/>
        <w:color w:val="5B6777"/>
        <w:sz w:val="18"/>
      </w:rPr>
      <w:t xml:space="preserve">FlywirePartial review  |  Page </w:t>
    </w:r>
    <w:r>
      <w:rPr>
        <w:rFonts w:ascii="Arial" w:hAnsi="Arial"/>
        <w:b w:val="0"/>
        <w:i w:val="0"/>
        <w:color w:val="5B6777"/>
        <w:sz w:val="18"/>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Arial" w:hAnsi="Arial"/>
        <w:b w:val="0"/>
        <w:i w:val="0"/>
        <w:color w:val="5B6777"/>
        <w:sz w:val="18"/>
      </w:rPr>
      <w:t xml:space="preserve">FlywirePartial review  |  Page </w:t>
    </w:r>
    <w:r>
      <w:rPr>
        <w:rFonts w:ascii="Arial" w:hAnsi="Arial"/>
        <w:b w:val="0"/>
        <w:i w:val="0"/>
        <w:color w:val="5B6777"/>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before="0"/>
    </w:pPr>
    <w:rPr>
      <w:rFonts w:ascii="Arial" w:hAnsi="Arial"/>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SCC-3385 Create Work Order for Tickets Architect Review</dc:title>
  <dc:subject>Source retrieval and check-only readiness assessment</dc:subject>
  <dc:creator>Solution Architecture Review</dc:creator>
  <cp:keywords>Salesforce, Great Plains, SCC-3385, Work Order, architect review, dry run</cp:keywords>
  <dc:description>generated by python-docx</dc:description>
  <cp:lastModifiedBy/>
  <cp:revision>1</cp:revision>
  <dcterms:created xsi:type="dcterms:W3CDTF">2013-12-23T23:15:00Z</dcterms:created>
  <dcterms:modified xsi:type="dcterms:W3CDTF">2013-12-23T23:15:00Z</dcterms:modified>
  <cp:category/>
</cp:coreProperties>
</file>