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ARCHITECT REVIEW</w:t>
      </w:r>
    </w:p>
    <w:p>
      <w:pPr>
        <w:spacing w:after="80"/>
      </w:pPr>
      <w:r>
        <w:rPr>
          <w:rFonts w:ascii="Arial" w:hAnsi="Arial"/>
          <w:b/>
          <w:i w:val="0"/>
          <w:color w:val="0B2545"/>
          <w:sz w:val="50"/>
        </w:rPr>
        <w:t xml:space="preserve">SALDEV-1475 | OOB Grouped Lines on Amend and Renew</w:t>
      </w:r>
    </w:p>
    <w:p>
      <w:pPr>
        <w:spacing w:after="280"/>
      </w:pPr>
      <w:r>
        <w:rPr>
          <w:rFonts w:ascii="Arial" w:hAnsi="Arial"/>
          <w:b w:val="0"/>
          <w:i w:val="0"/>
          <w:color w:val="5B6777"/>
          <w:sz w:val="26"/>
        </w:rPr>
        <w:t xml:space="preserve">FlywirePartial | Read-only lifecycle investigation and architect assessment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Source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FlywirePartial | Sandbox org 00DhG0000000jOXUAY</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 xml:space="preserve">Test records</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Q-37942 | Contract 00021743 | Q-37946 | Q-37950</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Review date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28 August 2026</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 xml:space="preserve">Validation mode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Read-only SOQL and source review; no deployment or record changes</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Decision</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CHANGES REQUESTED - Ramped result confirmed; required cases remain untested</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Boundary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No records, metadata, deployment, activation, or pricing recalculation were changed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CEC"/>
          </w:tcPr>
          <w:p>
            <w:pPr>
              <w:spacing w:after="40"/>
            </w:pPr>
            <w:r>
              <w:rPr>
                <w:rFonts w:ascii="Arial" w:hAnsi="Arial"/>
                <w:b/>
                <w:i w:val="0"/>
                <w:color w:val="C53030"/>
                <w:sz w:val="18"/>
              </w:rPr>
              <w:t>ARCHITECT DECISION</w:t>
            </w:r>
          </w:p>
          <w:p>
            <w:pPr>
              <w:spacing w:after="0" w:line="259" w:lineRule="auto"/>
            </w:pPr>
            <w:r>
              <w:rPr>
                <w:rFonts w:ascii="Arial" w:hAnsi="Arial"/>
                <w:b/>
                <w:i w:val="0"/>
                <w:color w:val="0B2545"/>
                <w:sz w:val="22"/>
              </w:rPr>
              <w:t xml:space="preserve">Do not close SALDEV-1475 as fully complete. The ramped-group lifecycle is confirmed and matches Salesforce CPQ expected behavior, but the required non-ramped lifecycle case and populated NetSuite-ID case were not executed.</w:t>
            </w:r>
          </w:p>
        </w:tc>
      </w:tr>
    </w:tbl>
    <w:p>
      <w:pPr>
        <w:spacing w:after="20"/>
      </w:pPr>
    </w:p>
    <w:p>
      <w:pPr>
        <w:pStyle w:val="Heading1"/>
        <w:keepNext/>
      </w:pPr>
      <w:r>
        <w:t>Acceptance outcome</w:t>
      </w:r>
    </w:p>
    <w:tbl>
      <w:tblPr>
        <w:tblStyle w:val="TableGrid"/>
        <w:tblW w:type="dxa" w:w="9360"/>
        <w:jc w:val="left"/>
        <w:tblLayout w:type="fixed"/>
        <w:tblLook w:firstColumn="1" w:firstRow="1" w:lastColumn="0" w:lastRow="0" w:noHBand="0" w:noVBand="1" w:val="04A0"/>
        <w:tblInd w:w="120" w:type="dxa"/>
      </w:tblPr>
      <w:tblGrid>
        <w:gridCol w:w="480"/>
        <w:gridCol w:w="2050"/>
        <w:gridCol w:w="1450"/>
        <w:gridCol w:w="5380"/>
      </w:tblGrid>
      <w:tr>
        <w:trPr>
          <w:tblHeader w:val="true"/>
        </w:trPr>
        <w:tc>
          <w:tcPr>
            <w:tcW w:type="dxa" w:w="4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w:t>
            </w:r>
          </w:p>
        </w:tc>
        <w:tc>
          <w:tcPr>
            <w:tcW w:type="dxa" w:w="20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Scope</w:t>
            </w:r>
          </w:p>
        </w:tc>
        <w:tc>
          <w:tcPr>
            <w:tcW w:type="dxa" w:w="1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3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480"/>
          </w:tcPr>
          <w:p>
            <w:pPr>
              <w:spacing w:before="0" w:after="0" w:line="252" w:lineRule="auto"/>
              <w:jc w:val="left"/>
            </w:pPr>
            <w:r/>
            <w:r>
              <w:rPr>
                <w:rFonts w:ascii="Arial" w:hAnsi="Arial"/>
                <w:b w:val="0"/>
                <w:i w:val="0"/>
                <w:color w:val="1F2937"/>
                <w:sz w:val="18"/>
              </w:rPr>
              <w:t>1</w:t>
            </w:r>
          </w:p>
        </w:tc>
        <w:tc>
          <w:tcPr>
            <w:tcW w:type="dxa" w:w="2050"/>
          </w:tcPr>
          <w:p>
            <w:pPr>
              <w:spacing w:before="0" w:after="0" w:line="252" w:lineRule="auto"/>
              <w:jc w:val="left"/>
            </w:pPr>
            <w:r/>
            <w:r>
              <w:rPr>
                <w:rFonts w:ascii="Arial" w:hAnsi="Arial"/>
                <w:b w:val="0"/>
                <w:i w:val="0"/>
                <w:color w:val="1F2937"/>
                <w:sz w:val="18"/>
              </w:rPr>
              <w:t xml:space="preserve">Subscription group identity</w:t>
            </w:r>
          </w:p>
        </w:tc>
        <w:tc>
          <w:tcPr>
            <w:tcW w:type="dxa" w:w="1450"/>
            <w:shd w:fill="FFF4D6"/>
          </w:tcPr>
          <w:p>
            <w:pPr>
              <w:spacing w:before="0" w:after="0" w:line="252" w:lineRule="auto"/>
              <w:jc w:val="center"/>
            </w:pPr>
            <w:r>
              <w:rPr>
                <w:color w:val="B7791F"/>
                <w:b/>
              </w:rPr>
            </w:r>
            <w:r>
              <w:rPr>
                <w:rFonts w:ascii="Arial" w:hAnsi="Arial"/>
                <w:b/>
                <w:i w:val="0"/>
                <w:color w:val="B7791F"/>
                <w:sz w:val="19"/>
              </w:rPr>
              <w:t xml:space="preserve">Indirect only</w:t>
            </w:r>
          </w:p>
        </w:tc>
        <w:tc>
          <w:tcPr>
            <w:tcW w:type="dxa" w:w="5380"/>
          </w:tcPr>
          <w:p>
            <w:pPr>
              <w:spacing w:before="0" w:after="0" w:line="252" w:lineRule="auto"/>
              <w:jc w:val="left"/>
            </w:pPr>
            <w:r/>
            <w:r>
              <w:rPr>
                <w:rFonts w:ascii="Arial" w:hAnsi="Arial"/>
                <w:b w:val="0"/>
                <w:i w:val="0"/>
                <w:color w:val="1F2937"/>
                <w:sz w:val="18"/>
              </w:rPr>
              <w:t xml:space="preserve">No group ID is stored on Subscription. Lineage is Subscription -&gt; Source Quote Line -&gt; original Quote Line Group.</w:t>
            </w:r>
          </w:p>
        </w:tc>
      </w:tr>
      <w:tr>
        <w:tc>
          <w:tcPr>
            <w:tcW w:type="dxa" w:w="480"/>
          </w:tcPr>
          <w:p>
            <w:pPr>
              <w:spacing w:before="0" w:after="0" w:line="252" w:lineRule="auto"/>
              <w:jc w:val="left"/>
            </w:pPr>
            <w:r/>
            <w:r>
              <w:rPr>
                <w:rFonts w:ascii="Arial" w:hAnsi="Arial"/>
                <w:b w:val="0"/>
                <w:i w:val="0"/>
                <w:color w:val="1F2937"/>
                <w:sz w:val="18"/>
              </w:rPr>
              <w:t>2</w:t>
            </w:r>
          </w:p>
        </w:tc>
        <w:tc>
          <w:tcPr>
            <w:tcW w:type="dxa" w:w="2050"/>
          </w:tcPr>
          <w:p>
            <w:pPr>
              <w:spacing w:before="0" w:after="0" w:line="252" w:lineRule="auto"/>
              <w:jc w:val="left"/>
            </w:pPr>
            <w:r/>
            <w:r>
              <w:rPr>
                <w:rFonts w:ascii="Arial" w:hAnsi="Arial"/>
                <w:b w:val="0"/>
                <w:i w:val="0"/>
                <w:color w:val="1F2937"/>
                <w:sz w:val="18"/>
              </w:rPr>
              <w:t xml:space="preserve">Groups on amendment</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No</w:t>
            </w:r>
          </w:p>
        </w:tc>
        <w:tc>
          <w:tcPr>
            <w:tcW w:type="dxa" w:w="5380"/>
          </w:tcPr>
          <w:p>
            <w:pPr>
              <w:spacing w:before="0" w:after="0" w:line="252" w:lineRule="auto"/>
              <w:jc w:val="left"/>
            </w:pPr>
            <w:r/>
            <w:r>
              <w:rPr>
                <w:rFonts w:ascii="Arial" w:hAnsi="Arial"/>
                <w:b w:val="0"/>
                <w:i w:val="0"/>
                <w:color w:val="1F2937"/>
                <w:sz w:val="18"/>
              </w:rPr>
              <w:t xml:space="preserve">Q-37946 has five lines, Group Line Items=false, zero groups, and every SBQQ__Group__c is null.</w:t>
            </w:r>
          </w:p>
        </w:tc>
      </w:tr>
      <w:tr>
        <w:tc>
          <w:tcPr>
            <w:tcW w:type="dxa" w:w="480"/>
          </w:tcPr>
          <w:p>
            <w:pPr>
              <w:spacing w:before="0" w:after="0" w:line="252" w:lineRule="auto"/>
              <w:jc w:val="left"/>
            </w:pPr>
            <w:r/>
            <w:r>
              <w:rPr>
                <w:rFonts w:ascii="Arial" w:hAnsi="Arial"/>
                <w:b w:val="0"/>
                <w:i w:val="0"/>
                <w:color w:val="1F2937"/>
                <w:sz w:val="18"/>
              </w:rPr>
              <w:t>3</w:t>
            </w:r>
          </w:p>
        </w:tc>
        <w:tc>
          <w:tcPr>
            <w:tcW w:type="dxa" w:w="2050"/>
          </w:tcPr>
          <w:p>
            <w:pPr>
              <w:spacing w:before="0" w:after="0" w:line="252" w:lineRule="auto"/>
              <w:jc w:val="left"/>
            </w:pPr>
            <w:r/>
            <w:r>
              <w:rPr>
                <w:rFonts w:ascii="Arial" w:hAnsi="Arial"/>
                <w:b w:val="0"/>
                <w:i w:val="0"/>
                <w:color w:val="1F2937"/>
                <w:sz w:val="18"/>
              </w:rPr>
              <w:t xml:space="preserve">Groups on renewal</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No</w:t>
            </w:r>
          </w:p>
        </w:tc>
        <w:tc>
          <w:tcPr>
            <w:tcW w:type="dxa" w:w="5380"/>
          </w:tcPr>
          <w:p>
            <w:pPr>
              <w:spacing w:before="0" w:after="0" w:line="252" w:lineRule="auto"/>
              <w:jc w:val="left"/>
            </w:pPr>
            <w:r/>
            <w:r>
              <w:rPr>
                <w:rFonts w:ascii="Arial" w:hAnsi="Arial"/>
                <w:b w:val="0"/>
                <w:i w:val="0"/>
                <w:color w:val="1F2937"/>
                <w:sz w:val="18"/>
              </w:rPr>
              <w:t xml:space="preserve">Q-37950 has four lines, Group Line Items=false, zero groups, and every SBQQ__Group__c is null.</w:t>
            </w:r>
          </w:p>
        </w:tc>
      </w:tr>
      <w:tr>
        <w:tc>
          <w:tcPr>
            <w:tcW w:type="dxa" w:w="480"/>
          </w:tcPr>
          <w:p>
            <w:pPr>
              <w:spacing w:before="0" w:after="0" w:line="252" w:lineRule="auto"/>
              <w:jc w:val="left"/>
            </w:pPr>
            <w:r/>
            <w:r>
              <w:rPr>
                <w:rFonts w:ascii="Arial" w:hAnsi="Arial"/>
                <w:b w:val="0"/>
                <w:i w:val="0"/>
                <w:color w:val="1F2937"/>
                <w:sz w:val="18"/>
              </w:rPr>
              <w:t>4</w:t>
            </w:r>
          </w:p>
        </w:tc>
        <w:tc>
          <w:tcPr>
            <w:tcW w:type="dxa" w:w="2050"/>
          </w:tcPr>
          <w:p>
            <w:pPr>
              <w:spacing w:before="0" w:after="0" w:line="252" w:lineRule="auto"/>
              <w:jc w:val="left"/>
            </w:pPr>
            <w:r/>
            <w:r>
              <w:rPr>
                <w:rFonts w:ascii="Arial" w:hAnsi="Arial"/>
                <w:b w:val="0"/>
                <w:i w:val="0"/>
                <w:color w:val="1F2937"/>
                <w:sz w:val="18"/>
              </w:rPr>
              <w:t xml:space="preserve">Final-group assumption</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Rejected</w:t>
            </w:r>
          </w:p>
        </w:tc>
        <w:tc>
          <w:tcPr>
            <w:tcW w:type="dxa" w:w="5380"/>
          </w:tcPr>
          <w:p>
            <w:pPr>
              <w:spacing w:before="0" w:after="0" w:line="252" w:lineRule="auto"/>
              <w:jc w:val="left"/>
            </w:pPr>
            <w:r/>
            <w:r>
              <w:rPr>
                <w:rFonts w:ascii="Arial" w:hAnsi="Arial"/>
                <w:b w:val="0"/>
                <w:i w:val="0"/>
                <w:color w:val="1F2937"/>
                <w:sz w:val="18"/>
              </w:rPr>
              <w:t xml:space="preserve">Renewal has three Domestic Payments lines mapped to three distinct subscriptions, not one consolidated final-group line.</w:t>
            </w:r>
          </w:p>
        </w:tc>
      </w:tr>
      <w:tr>
        <w:tc>
          <w:tcPr>
            <w:tcW w:type="dxa" w:w="480"/>
          </w:tcPr>
          <w:p>
            <w:pPr>
              <w:spacing w:before="0" w:after="0" w:line="252" w:lineRule="auto"/>
              <w:jc w:val="left"/>
            </w:pPr>
            <w:r/>
            <w:r>
              <w:rPr>
                <w:rFonts w:ascii="Arial" w:hAnsi="Arial"/>
                <w:b w:val="0"/>
                <w:i w:val="0"/>
                <w:color w:val="1F2937"/>
                <w:sz w:val="18"/>
              </w:rPr>
              <w:t>5</w:t>
            </w:r>
          </w:p>
        </w:tc>
        <w:tc>
          <w:tcPr>
            <w:tcW w:type="dxa" w:w="2050"/>
          </w:tcPr>
          <w:p>
            <w:pPr>
              <w:spacing w:before="0" w:after="0" w:line="252" w:lineRule="auto"/>
              <w:jc w:val="left"/>
            </w:pPr>
            <w:r/>
            <w:r>
              <w:rPr>
                <w:rFonts w:ascii="Arial" w:hAnsi="Arial"/>
                <w:b w:val="0"/>
                <w:i w:val="0"/>
                <w:color w:val="1F2937"/>
                <w:sz w:val="18"/>
              </w:rPr>
              <w:t xml:space="preserve">Early renewal timing</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Header pass</w:t>
            </w:r>
          </w:p>
        </w:tc>
        <w:tc>
          <w:tcPr>
            <w:tcW w:type="dxa" w:w="5380"/>
          </w:tcPr>
          <w:p>
            <w:pPr>
              <w:spacing w:before="0" w:after="0" w:line="252" w:lineRule="auto"/>
              <w:jc w:val="left"/>
            </w:pPr>
            <w:r/>
            <w:r>
              <w:rPr>
                <w:rFonts w:ascii="Arial" w:hAnsi="Arial"/>
                <w:b w:val="0"/>
                <w:i w:val="0"/>
                <w:color w:val="1F2937"/>
                <w:sz w:val="18"/>
              </w:rPr>
              <w:t xml:space="preserve">Although generated before Year 3 starts, Q-37950 correctly covers 24-Sep-2029 through 23-Sep-2030.</w:t>
            </w:r>
          </w:p>
        </w:tc>
      </w:tr>
      <w:tr>
        <w:tc>
          <w:tcPr>
            <w:tcW w:type="dxa" w:w="480"/>
          </w:tcPr>
          <w:p>
            <w:pPr>
              <w:spacing w:before="0" w:after="0" w:line="252" w:lineRule="auto"/>
              <w:jc w:val="left"/>
            </w:pPr>
            <w:r/>
            <w:r>
              <w:rPr>
                <w:rFonts w:ascii="Arial" w:hAnsi="Arial"/>
                <w:b w:val="0"/>
                <w:i w:val="0"/>
                <w:color w:val="1F2937"/>
                <w:sz w:val="18"/>
              </w:rPr>
              <w:t>6</w:t>
            </w:r>
          </w:p>
        </w:tc>
        <w:tc>
          <w:tcPr>
            <w:tcW w:type="dxa" w:w="2050"/>
          </w:tcPr>
          <w:p>
            <w:pPr>
              <w:spacing w:before="0" w:after="0" w:line="252" w:lineRule="auto"/>
              <w:jc w:val="left"/>
            </w:pPr>
            <w:r/>
            <w:r>
              <w:rPr>
                <w:rFonts w:ascii="Arial" w:hAnsi="Arial"/>
                <w:b w:val="0"/>
                <w:i w:val="0"/>
                <w:color w:val="1F2937"/>
                <w:sz w:val="18"/>
              </w:rPr>
              <w:t xml:space="preserve">Non-ramped / NS ID</w:t>
            </w:r>
          </w:p>
        </w:tc>
        <w:tc>
          <w:tcPr>
            <w:tcW w:type="dxa" w:w="1450"/>
            <w:shd w:fill="FDE8E8"/>
          </w:tcPr>
          <w:p>
            <w:pPr>
              <w:spacing w:before="0" w:after="0" w:line="252" w:lineRule="auto"/>
              <w:jc w:val="center"/>
            </w:pPr>
            <w:r>
              <w:rPr>
                <w:color w:val="C53030"/>
                <w:b/>
              </w:rPr>
            </w:r>
            <w:r>
              <w:rPr>
                <w:rFonts w:ascii="Arial" w:hAnsi="Arial"/>
                <w:b/>
                <w:i w:val="0"/>
                <w:color w:val="C53030"/>
                <w:sz w:val="19"/>
              </w:rPr>
              <w:t xml:space="preserve">Not tested</w:t>
            </w:r>
          </w:p>
        </w:tc>
        <w:tc>
          <w:tcPr>
            <w:tcW w:type="dxa" w:w="5380"/>
          </w:tcPr>
          <w:p>
            <w:pPr>
              <w:spacing w:before="0" w:after="0" w:line="252" w:lineRule="auto"/>
              <w:jc w:val="left"/>
            </w:pPr>
            <w:r/>
            <w:r>
              <w:rPr>
                <w:rFonts w:ascii="Arial" w:hAnsi="Arial"/>
                <w:b w:val="0"/>
                <w:i w:val="0"/>
                <w:color w:val="1F2937"/>
                <w:sz w:val="18"/>
              </w:rPr>
              <w:t xml:space="preserve">Original data contains only ramped groups; every NS_ID__c is null, so both required behaviors remain unverified.</w:t>
            </w:r>
          </w:p>
        </w:tc>
      </w:tr>
    </w:tbl>
    <w:p>
      <w:pPr>
        <w:spacing w:after="20"/>
      </w:pPr>
    </w:p>
    <w:p>
      <w:r>
        <w:br w:type="page"/>
      </w:r>
    </w:p>
    <w:p>
      <w:pPr>
        <w:pStyle w:val="Heading1"/>
        <w:keepNext/>
      </w:pPr>
      <w:r>
        <w:t xml:space="preserve">Observed amendment and renewal path</w:t>
      </w:r>
    </w:p>
    <w:p>
      <w:pPr>
        <w:spacing w:after="120" w:line="264" w:lineRule="auto"/>
      </w:pPr>
      <w:r>
        <w:rPr>
          <w:rFonts w:ascii="Arial" w:hAnsi="Arial"/>
          <w:b w:val="0"/>
          <w:i w:val="0"/>
          <w:color w:val="1F2937"/>
          <w:sz w:val="22"/>
        </w:rPr>
        <w:t xml:space="preserve">Salesforce CPQ preserves subscription-level lineage but does not preserve original Quote Line Groups. Flywire custom group-date logic only runs when groups exist.</w:t>
      </w:r>
    </w:p>
    <w:p>
      <w:pPr>
        <w:keepNext/>
        <w:jc w:val="center"/>
      </w:pPr>
      <w:r>
        <w:drawing>
          <wp:inline xmlns:a="http://schemas.openxmlformats.org/drawingml/2006/main" xmlns:pic="http://schemas.openxmlformats.org/drawingml/2006/picture">
            <wp:extent cx="5897880" cy="3759898"/>
            <wp:docPr id="1" name="Picture 1" title="Figure 1. SCC-3385 Merge-to-UAT validation path" descr="Diagram showing GreatPlainsMerge metadata moving into a corrected fourteen-component check-only package and failing in GreatPlainsUAT. The lower lane lists missing prerequisites and the NO-GO architect decision."/>
            <wp:cNvGraphicFramePr>
              <a:graphicFrameLocks noChangeAspect="1"/>
            </wp:cNvGraphicFramePr>
            <a:graphic>
              <a:graphicData uri="http://schemas.openxmlformats.org/drawingml/2006/picture">
                <pic:pic>
                  <pic:nvPicPr>
                    <pic:cNvPr id="0" name="scc3385-deployment-validation-path.png"/>
                    <pic:cNvPicPr/>
                  </pic:nvPicPr>
                  <pic:blipFill>
                    <a:blip r:embed="rId17"/>
                    <a:stretch>
                      <a:fillRect/>
                    </a:stretch>
                  </pic:blipFill>
                  <pic:spPr>
                    <a:xfrm>
                      <a:off x="0" y="0"/>
                      <a:ext cx="5897880" cy="3759898"/>
                    </a:xfrm>
                    <a:prstGeom prst="rect"/>
                  </pic:spPr>
                </pic:pic>
              </a:graphicData>
            </a:graphic>
          </wp:inline>
        </w:drawing>
      </w:r>
    </w:p>
    <w:p>
      <w:pPr>
        <w:keepNext/>
        <w:spacing w:before="40" w:after="160"/>
        <w:jc w:val="center"/>
      </w:pPr>
      <w:r>
        <w:rPr>
          <w:rFonts w:ascii="Arial" w:hAnsi="Arial"/>
          <w:b w:val="0"/>
          <w:i/>
          <w:color w:val="5B6777"/>
          <w:sz w:val="18"/>
        </w:rPr>
        <w:t xml:space="preserve">Figure 1. SALDEV-1475 observed CPQ lifecycle in FlywirePartial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DESIGN READING</w:t>
            </w:r>
          </w:p>
          <w:p>
            <w:pPr>
              <w:spacing w:after="0" w:line="259" w:lineRule="auto"/>
            </w:pPr>
            <w:r>
              <w:rPr>
                <w:rFonts w:ascii="Arial" w:hAnsi="Arial"/>
                <w:b/>
                <w:i w:val="0"/>
                <w:color w:val="0B2545"/>
                <w:sz w:val="22"/>
              </w:rPr>
              <w:t xml:space="preserve">Green is verified live. Blue is the original quote structure. Amber is required follow-up evidence.</w:t>
            </w:r>
          </w:p>
        </w:tc>
      </w:tr>
    </w:tbl>
    <w:p>
      <w:pPr>
        <w:spacing w:after="20"/>
      </w:pPr>
    </w:p>
    <w:p>
      <w:r>
        <w:br w:type="page"/>
      </w:r>
    </w:p>
    <w:p>
      <w:pPr>
        <w:pStyle w:val="Heading1"/>
        <w:keepNext/>
      </w:pPr>
      <w:r>
        <w:t xml:space="preserve">Detailed investigation findings</w:t>
      </w:r>
    </w:p>
    <w:p>
      <w:pPr>
        <w:pStyle w:val="Heading2"/>
        <w:keepNext/>
      </w:pPr>
      <w:r>
        <w:t xml:space="preserve">1. Named-record evidence</w:t>
      </w:r>
    </w:p>
    <w:tbl>
      <w:tblPr>
        <w:tblStyle w:val="TableGrid"/>
        <w:tblW w:type="dxa" w:w="9360"/>
        <w:jc w:val="left"/>
        <w:tblLayout w:type="fixed"/>
        <w:tblLook w:firstColumn="1" w:firstRow="1" w:lastColumn="0" w:lastRow="0" w:noHBand="0" w:noVBand="1" w:val="04A0"/>
        <w:tblInd w:w="120" w:type="dxa"/>
      </w:tblPr>
      <w:tblGrid>
        <w:gridCol w:w="1750"/>
        <w:gridCol w:w="2350"/>
        <w:gridCol w:w="5260"/>
      </w:tblGrid>
      <w:tr>
        <w:trPr>
          <w:tblHeader w:val="true"/>
        </w:trPr>
        <w:tc>
          <w:tcPr>
            <w:tcW w:type="dxa" w:w="17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Record set</w:t>
            </w:r>
          </w:p>
        </w:tc>
        <w:tc>
          <w:tcPr>
            <w:tcW w:type="dxa" w:w="23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Observed result</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w:t>
            </w:r>
          </w:p>
        </w:tc>
      </w:tr>
      <w:tr>
        <w:tc>
          <w:tcPr>
            <w:tcW w:type="dxa" w:w="1750"/>
          </w:tcPr>
          <w:p>
            <w:pPr>
              <w:spacing w:before="0" w:after="0" w:line="252" w:lineRule="auto"/>
              <w:jc w:val="left"/>
            </w:pPr>
            <w:r/>
            <w:r>
              <w:rPr>
                <w:rFonts w:ascii="Arial" w:hAnsi="Arial"/>
                <w:b w:val="0"/>
                <w:i w:val="0"/>
                <w:color w:val="1F2937"/>
                <w:sz w:val="18"/>
              </w:rPr>
              <w:t xml:space="preserve">Target org</w:t>
            </w:r>
          </w:p>
        </w:tc>
        <w:tc>
          <w:tcPr>
            <w:tcW w:type="dxa" w:w="2350"/>
          </w:tcPr>
          <w:p>
            <w:pPr>
              <w:spacing w:before="0" w:after="0" w:line="252" w:lineRule="auto"/>
              <w:jc w:val="left"/>
            </w:pPr>
            <w:r/>
            <w:r>
              <w:rPr>
                <w:rFonts w:ascii="Arial" w:hAnsi="Arial"/>
                <w:b w:val="0"/>
                <w:i w:val="0"/>
                <w:color w:val="1F2937"/>
                <w:sz w:val="18"/>
              </w:rPr>
              <w:t xml:space="preserve">FlywirePartial</w:t>
            </w:r>
          </w:p>
        </w:tc>
        <w:tc>
          <w:tcPr>
            <w:tcW w:type="dxa" w:w="5260"/>
          </w:tcPr>
          <w:p>
            <w:pPr>
              <w:spacing w:before="0" w:after="0" w:line="252" w:lineRule="auto"/>
              <w:jc w:val="left"/>
            </w:pPr>
            <w:r/>
            <w:r>
              <w:rPr>
                <w:rFonts w:ascii="Arial" w:hAnsi="Arial"/>
                <w:b w:val="0"/>
                <w:i w:val="0"/>
                <w:color w:val="1F2937"/>
                <w:sz w:val="18"/>
              </w:rPr>
              <w:t xml:space="preserve">Org 00DhG0000000jOXUAY; Enterprise Edition sandbox; API 67.0.</w:t>
            </w:r>
          </w:p>
        </w:tc>
      </w:tr>
      <w:tr>
        <w:tc>
          <w:tcPr>
            <w:tcW w:type="dxa" w:w="1750"/>
          </w:tcPr>
          <w:p>
            <w:pPr>
              <w:spacing w:before="0" w:after="0" w:line="252" w:lineRule="auto"/>
              <w:jc w:val="left"/>
            </w:pPr>
            <w:r/>
            <w:r>
              <w:rPr>
                <w:rFonts w:ascii="Arial" w:hAnsi="Arial"/>
                <w:b w:val="0"/>
                <w:i w:val="0"/>
                <w:color w:val="1F2937"/>
                <w:sz w:val="18"/>
              </w:rPr>
              <w:t xml:space="preserve">Original quote</w:t>
            </w:r>
          </w:p>
        </w:tc>
        <w:tc>
          <w:tcPr>
            <w:tcW w:type="dxa" w:w="2350"/>
          </w:tcPr>
          <w:p>
            <w:pPr>
              <w:spacing w:before="0" w:after="0" w:line="252" w:lineRule="auto"/>
              <w:jc w:val="left"/>
            </w:pPr>
            <w:r/>
            <w:r>
              <w:rPr>
                <w:rFonts w:ascii="Arial" w:hAnsi="Arial"/>
                <w:b w:val="0"/>
                <w:i w:val="0"/>
                <w:color w:val="1F2937"/>
                <w:sz w:val="18"/>
              </w:rPr>
              <w:t xml:space="preserve">Q-37942 | 5 lines</w:t>
            </w:r>
          </w:p>
        </w:tc>
        <w:tc>
          <w:tcPr>
            <w:tcW w:type="dxa" w:w="5260"/>
          </w:tcPr>
          <w:p>
            <w:pPr>
              <w:spacing w:before="0" w:after="0" w:line="252" w:lineRule="auto"/>
              <w:jc w:val="left"/>
            </w:pPr>
            <w:r/>
            <w:r>
              <w:rPr>
                <w:rFonts w:ascii="Arial" w:hAnsi="Arial"/>
                <w:b w:val="0"/>
                <w:i w:val="0"/>
                <w:color w:val="1F2937"/>
                <w:sz w:val="18"/>
              </w:rPr>
              <w:t xml:space="preserve">Three ramped groups: SUP Year 1, Year 2, and Year 3; dates span 24-Sep-2026 to 23-Sep-2029.</w:t>
            </w:r>
          </w:p>
        </w:tc>
      </w:tr>
      <w:tr>
        <w:tc>
          <w:tcPr>
            <w:tcW w:type="dxa" w:w="1750"/>
          </w:tcPr>
          <w:p>
            <w:pPr>
              <w:spacing w:before="0" w:after="0" w:line="252" w:lineRule="auto"/>
              <w:jc w:val="left"/>
            </w:pPr>
            <w:r/>
            <w:r>
              <w:rPr>
                <w:rFonts w:ascii="Arial" w:hAnsi="Arial"/>
                <w:b w:val="0"/>
                <w:i w:val="0"/>
                <w:color w:val="1F2937"/>
                <w:sz w:val="18"/>
              </w:rPr>
              <w:t xml:space="preserve">Contract</w:t>
            </w:r>
          </w:p>
        </w:tc>
        <w:tc>
          <w:tcPr>
            <w:tcW w:type="dxa" w:w="2350"/>
          </w:tcPr>
          <w:p>
            <w:pPr>
              <w:spacing w:before="0" w:after="0" w:line="252" w:lineRule="auto"/>
              <w:jc w:val="left"/>
            </w:pPr>
            <w:r/>
            <w:r>
              <w:rPr>
                <w:rFonts w:ascii="Arial" w:hAnsi="Arial"/>
                <w:b w:val="0"/>
                <w:i w:val="0"/>
                <w:color w:val="1F2937"/>
                <w:sz w:val="18"/>
              </w:rPr>
              <w:t xml:space="preserve">00021743 | 5 subscriptions</w:t>
            </w:r>
          </w:p>
        </w:tc>
        <w:tc>
          <w:tcPr>
            <w:tcW w:type="dxa" w:w="5260"/>
          </w:tcPr>
          <w:p>
            <w:pPr>
              <w:spacing w:before="0" w:after="0" w:line="252" w:lineRule="auto"/>
              <w:jc w:val="left"/>
            </w:pPr>
            <w:r/>
            <w:r>
              <w:rPr>
                <w:rFonts w:ascii="Arial" w:hAnsi="Arial"/>
                <w:b w:val="0"/>
                <w:i w:val="0"/>
                <w:color w:val="1F2937"/>
                <w:sz w:val="18"/>
              </w:rPr>
              <w:t xml:space="preserve">Latest End Date behavior; renewal term 12; subscriptions retain source Quote Line links, not group IDs.</w:t>
            </w:r>
          </w:p>
        </w:tc>
      </w:tr>
      <w:tr>
        <w:tc>
          <w:tcPr>
            <w:tcW w:type="dxa" w:w="1750"/>
          </w:tcPr>
          <w:p>
            <w:pPr>
              <w:spacing w:before="0" w:after="0" w:line="252" w:lineRule="auto"/>
              <w:jc w:val="left"/>
            </w:pPr>
            <w:r/>
            <w:r>
              <w:rPr>
                <w:rFonts w:ascii="Arial" w:hAnsi="Arial"/>
                <w:b w:val="0"/>
                <w:i w:val="0"/>
                <w:color w:val="1F2937"/>
                <w:sz w:val="18"/>
              </w:rPr>
              <w:t xml:space="preserve">Amendment</w:t>
            </w:r>
          </w:p>
        </w:tc>
        <w:tc>
          <w:tcPr>
            <w:tcW w:type="dxa" w:w="2350"/>
          </w:tcPr>
          <w:p>
            <w:pPr>
              <w:spacing w:before="0" w:after="0" w:line="252" w:lineRule="auto"/>
              <w:jc w:val="left"/>
            </w:pPr>
            <w:r/>
            <w:r>
              <w:rPr>
                <w:rFonts w:ascii="Arial" w:hAnsi="Arial"/>
                <w:b w:val="0"/>
                <w:i w:val="0"/>
                <w:color w:val="1F2937"/>
                <w:sz w:val="18"/>
              </w:rPr>
              <w:t xml:space="preserve">Q-37946 | 5 ungrouped lines</w:t>
            </w:r>
          </w:p>
        </w:tc>
        <w:tc>
          <w:tcPr>
            <w:tcW w:type="dxa" w:w="5260"/>
          </w:tcPr>
          <w:p>
            <w:pPr>
              <w:spacing w:before="0" w:after="0" w:line="252" w:lineRule="auto"/>
              <w:jc w:val="left"/>
            </w:pPr>
            <w:r/>
            <w:r>
              <w:rPr>
                <w:rFonts w:ascii="Arial" w:hAnsi="Arial"/>
                <w:b w:val="0"/>
                <w:i w:val="0"/>
                <w:color w:val="1F2937"/>
                <w:sz w:val="18"/>
              </w:rPr>
              <w:t xml:space="preserve">All original subscription lines appear, including the one-time implementation fee; no groups were recreated.</w:t>
            </w:r>
          </w:p>
        </w:tc>
      </w:tr>
      <w:tr>
        <w:tc>
          <w:tcPr>
            <w:tcW w:type="dxa" w:w="1750"/>
          </w:tcPr>
          <w:p>
            <w:pPr>
              <w:spacing w:before="0" w:after="0" w:line="252" w:lineRule="auto"/>
              <w:jc w:val="left"/>
            </w:pPr>
            <w:r/>
            <w:r>
              <w:rPr>
                <w:rFonts w:ascii="Arial" w:hAnsi="Arial"/>
                <w:b w:val="0"/>
                <w:i w:val="0"/>
                <w:color w:val="1F2937"/>
                <w:sz w:val="18"/>
              </w:rPr>
              <w:t xml:space="preserve">Renewal</w:t>
            </w:r>
          </w:p>
        </w:tc>
        <w:tc>
          <w:tcPr>
            <w:tcW w:type="dxa" w:w="2350"/>
          </w:tcPr>
          <w:p>
            <w:pPr>
              <w:spacing w:before="0" w:after="0" w:line="252" w:lineRule="auto"/>
              <w:jc w:val="left"/>
            </w:pPr>
            <w:r/>
            <w:r>
              <w:rPr>
                <w:rFonts w:ascii="Arial" w:hAnsi="Arial"/>
                <w:b w:val="0"/>
                <w:i w:val="0"/>
                <w:color w:val="1F2937"/>
                <w:sz w:val="18"/>
              </w:rPr>
              <w:t xml:space="preserve">Q-37950 | 4 ungrouped lines</w:t>
            </w:r>
          </w:p>
        </w:tc>
        <w:tc>
          <w:tcPr>
            <w:tcW w:type="dxa" w:w="5260"/>
          </w:tcPr>
          <w:p>
            <w:pPr>
              <w:spacing w:before="0" w:after="0" w:line="252" w:lineRule="auto"/>
              <w:jc w:val="left"/>
            </w:pPr>
            <w:r/>
            <w:r>
              <w:rPr>
                <w:rFonts w:ascii="Arial" w:hAnsi="Arial"/>
                <w:b w:val="0"/>
                <w:i w:val="0"/>
                <w:color w:val="1F2937"/>
                <w:sz w:val="18"/>
              </w:rPr>
              <w:t xml:space="preserve">Three Domestic Payments lines plus one Platform Fee; one-time Implementation Fee is absent.</w:t>
            </w:r>
          </w:p>
        </w:tc>
      </w:tr>
    </w:tbl>
    <w:p>
      <w:pPr>
        <w:spacing w:after="20"/>
      </w:pPr>
    </w:p>
    <w:p>
      <w:pPr>
        <w:pStyle w:val="Heading2"/>
        <w:keepNext/>
      </w:pPr>
      <w:r>
        <w:t xml:space="preserve">2. Exact lifecycle outcomes</w:t>
      </w:r>
    </w:p>
    <w:tbl>
      <w:tblPr>
        <w:tblStyle w:val="TableGrid"/>
        <w:tblW w:type="dxa" w:w="9360"/>
        <w:jc w:val="left"/>
        <w:tblLayout w:type="fixed"/>
        <w:tblLook w:firstColumn="1" w:firstRow="1" w:lastColumn="0" w:lastRow="0" w:noHBand="0" w:noVBand="1" w:val="04A0"/>
        <w:tblInd w:w="120" w:type="dxa"/>
      </w:tblPr>
      <w:tblGrid>
        <w:gridCol w:w="2450"/>
        <w:gridCol w:w="1600"/>
        <w:gridCol w:w="5310"/>
      </w:tblGrid>
      <w:tr>
        <w:trPr>
          <w:tblHeader w:val="true"/>
        </w:trPr>
        <w:tc>
          <w:tcPr>
            <w:tcW w:type="dxa" w:w="2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Lifecycle stage</w:t>
            </w:r>
          </w:p>
        </w:tc>
        <w:tc>
          <w:tcPr>
            <w:tcW w:type="dxa" w:w="16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Result</w:t>
            </w:r>
          </w:p>
        </w:tc>
        <w:tc>
          <w:tcPr>
            <w:tcW w:type="dxa" w:w="53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Live evidence</w:t>
            </w:r>
          </w:p>
        </w:tc>
      </w:tr>
      <w:tr>
        <w:tc>
          <w:tcPr>
            <w:tcW w:type="dxa" w:w="2450"/>
          </w:tcPr>
          <w:p>
            <w:pPr>
              <w:spacing w:before="0" w:after="0" w:line="252" w:lineRule="auto"/>
              <w:jc w:val="left"/>
            </w:pPr>
            <w:r/>
            <w:r>
              <w:rPr>
                <w:rFonts w:ascii="Arial" w:hAnsi="Arial"/>
                <w:b w:val="0"/>
                <w:i w:val="0"/>
                <w:color w:val="1F2937"/>
                <w:sz w:val="18"/>
              </w:rPr>
              <w:t xml:space="preserve">Original grouped quote</w:t>
            </w:r>
          </w:p>
        </w:tc>
        <w:tc>
          <w:tcPr>
            <w:tcW w:type="dxa" w:w="1600"/>
            <w:shd w:fill="E4F3EE"/>
          </w:tcPr>
          <w:p>
            <w:pPr>
              <w:spacing w:before="0" w:after="0" w:line="252" w:lineRule="auto"/>
              <w:jc w:val="center"/>
            </w:pPr>
            <w:r>
              <w:rPr>
                <w:color w:val="138A72"/>
                <w:b/>
              </w:rPr>
            </w:r>
            <w:r>
              <w:rPr>
                <w:rFonts w:ascii="Arial" w:hAnsi="Arial"/>
                <w:b/>
                <w:i w:val="0"/>
                <w:color w:val="138A72"/>
                <w:sz w:val="19"/>
              </w:rPr>
              <w:t xml:space="preserve">Verified</w:t>
            </w:r>
          </w:p>
        </w:tc>
        <w:tc>
          <w:tcPr>
            <w:tcW w:type="dxa" w:w="5310"/>
          </w:tcPr>
          <w:p>
            <w:pPr>
              <w:spacing w:before="0" w:after="0" w:line="252" w:lineRule="auto"/>
              <w:jc w:val="left"/>
            </w:pPr>
            <w:r/>
            <w:r>
              <w:rPr>
                <w:rFonts w:ascii="Arial" w:hAnsi="Arial"/>
                <w:b w:val="0"/>
                <w:i w:val="0"/>
                <w:color w:val="1F2937"/>
                <w:sz w:val="18"/>
              </w:rPr>
              <w:t xml:space="preserve">Q-37942 has Group Line Items=true, three group records, and all five lines linked to a group.</w:t>
            </w:r>
          </w:p>
        </w:tc>
      </w:tr>
      <w:tr>
        <w:tc>
          <w:tcPr>
            <w:tcW w:type="dxa" w:w="2450"/>
          </w:tcPr>
          <w:p>
            <w:pPr>
              <w:spacing w:before="0" w:after="0" w:line="252" w:lineRule="auto"/>
              <w:jc w:val="left"/>
            </w:pPr>
            <w:r/>
            <w:r>
              <w:rPr>
                <w:rFonts w:ascii="Arial" w:hAnsi="Arial"/>
                <w:b w:val="0"/>
                <w:i w:val="0"/>
                <w:color w:val="1F2937"/>
                <w:sz w:val="18"/>
              </w:rPr>
              <w:t xml:space="preserve">Amendment quote</w:t>
            </w:r>
          </w:p>
        </w:tc>
        <w:tc>
          <w:tcPr>
            <w:tcW w:type="dxa" w:w="1600"/>
            <w:shd w:fill="E4F3EE"/>
          </w:tcPr>
          <w:p>
            <w:pPr>
              <w:spacing w:before="0" w:after="0" w:line="252" w:lineRule="auto"/>
              <w:jc w:val="center"/>
            </w:pPr>
            <w:r>
              <w:rPr>
                <w:color w:val="138A72"/>
                <w:b/>
              </w:rPr>
            </w:r>
            <w:r>
              <w:rPr>
                <w:rFonts w:ascii="Arial" w:hAnsi="Arial"/>
                <w:b/>
                <w:i w:val="0"/>
                <w:color w:val="138A72"/>
                <w:sz w:val="19"/>
              </w:rPr>
              <w:t xml:space="preserve">Expected OOB</w:t>
            </w:r>
          </w:p>
        </w:tc>
        <w:tc>
          <w:tcPr>
            <w:tcW w:type="dxa" w:w="5310"/>
          </w:tcPr>
          <w:p>
            <w:pPr>
              <w:spacing w:before="0" w:after="0" w:line="252" w:lineRule="auto"/>
              <w:jc w:val="left"/>
            </w:pPr>
            <w:r/>
            <w:r>
              <w:rPr>
                <w:rFonts w:ascii="Arial" w:hAnsi="Arial"/>
                <w:b w:val="0"/>
                <w:i w:val="0"/>
                <w:color w:val="1F2937"/>
                <w:sz w:val="18"/>
              </w:rPr>
              <w:t xml:space="preserve">Q-37946 has Group Line Items=false and no Quote Line Group records. Salesforce Help KA 004518583 confirms this is expected CPQ behavior.</w:t>
            </w:r>
          </w:p>
        </w:tc>
      </w:tr>
      <w:tr>
        <w:tc>
          <w:tcPr>
            <w:tcW w:type="dxa" w:w="2450"/>
          </w:tcPr>
          <w:p>
            <w:pPr>
              <w:spacing w:before="0" w:after="0" w:line="252" w:lineRule="auto"/>
              <w:jc w:val="left"/>
            </w:pPr>
            <w:r/>
            <w:r>
              <w:rPr>
                <w:rFonts w:ascii="Arial" w:hAnsi="Arial"/>
                <w:b w:val="0"/>
                <w:i w:val="0"/>
                <w:color w:val="1F2937"/>
                <w:sz w:val="18"/>
              </w:rPr>
              <w:t xml:space="preserve">Renewal quote</w:t>
            </w:r>
          </w:p>
        </w:tc>
        <w:tc>
          <w:tcPr>
            <w:tcW w:type="dxa" w:w="1600"/>
            <w:shd w:fill="E4F3EE"/>
          </w:tcPr>
          <w:p>
            <w:pPr>
              <w:spacing w:before="0" w:after="0" w:line="252" w:lineRule="auto"/>
              <w:jc w:val="center"/>
            </w:pPr>
            <w:r>
              <w:rPr>
                <w:color w:val="138A72"/>
                <w:b/>
              </w:rPr>
            </w:r>
            <w:r>
              <w:rPr>
                <w:rFonts w:ascii="Arial" w:hAnsi="Arial"/>
                <w:b/>
                <w:i w:val="0"/>
                <w:color w:val="138A72"/>
                <w:sz w:val="19"/>
              </w:rPr>
              <w:t xml:space="preserve">Expected OOB</w:t>
            </w:r>
          </w:p>
        </w:tc>
        <w:tc>
          <w:tcPr>
            <w:tcW w:type="dxa" w:w="5310"/>
          </w:tcPr>
          <w:p>
            <w:pPr>
              <w:spacing w:before="0" w:after="0" w:line="252" w:lineRule="auto"/>
              <w:jc w:val="left"/>
            </w:pPr>
            <w:r/>
            <w:r>
              <w:rPr>
                <w:rFonts w:ascii="Arial" w:hAnsi="Arial"/>
                <w:b w:val="0"/>
                <w:i w:val="0"/>
                <w:color w:val="1F2937"/>
                <w:sz w:val="18"/>
              </w:rPr>
              <w:t xml:space="preserve">Q-37950 has Group Line Items=false and no Quote Line Group records; each line links to a renewed Subscription.</w:t>
            </w:r>
          </w:p>
        </w:tc>
      </w:tr>
    </w:tbl>
    <w:p>
      <w:pPr>
        <w:spacing w:after="20"/>
      </w:pPr>
    </w:p>
    <w:p>
      <w:pPr>
        <w:pStyle w:val="Heading2"/>
        <w:keepNext/>
      </w:pPr>
      <w:r>
        <w:t xml:space="preserve">3. Price, NetSuite, and coverage findings</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Area</w:t>
            </w:r>
          </w:p>
        </w:tc>
        <w:tc>
          <w:tcPr>
            <w:tcW w:type="dxa" w:w="19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Status</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 / required action</w:t>
            </w:r>
          </w:p>
        </w:tc>
      </w:tr>
      <w:tr>
        <w:tc>
          <w:tcPr>
            <w:tcW w:type="dxa" w:w="2200"/>
          </w:tcPr>
          <w:p>
            <w:pPr>
              <w:spacing w:before="0" w:after="0" w:line="252" w:lineRule="auto"/>
              <w:jc w:val="left"/>
            </w:pPr>
            <w:r/>
            <w:r>
              <w:rPr>
                <w:rFonts w:ascii="Arial" w:hAnsi="Arial"/>
                <w:b w:val="0"/>
                <w:i w:val="0"/>
                <w:color w:val="1F2937"/>
                <w:sz w:val="18"/>
              </w:rPr>
              <w:t xml:space="preserve">Renewal lineage</w:t>
            </w:r>
          </w:p>
        </w:tc>
        <w:tc>
          <w:tcPr>
            <w:tcW w:type="dxa" w:w="1900"/>
            <w:shd w:fill="E4F3EE"/>
          </w:tcPr>
          <w:p>
            <w:pPr>
              <w:spacing w:before="0" w:after="0" w:line="252" w:lineRule="auto"/>
              <w:jc w:val="center"/>
            </w:pPr>
            <w:r>
              <w:rPr>
                <w:color w:val="138A72"/>
                <w:b/>
              </w:rPr>
            </w:r>
            <w:r>
              <w:rPr>
                <w:rFonts w:ascii="Arial" w:hAnsi="Arial"/>
                <w:b/>
                <w:i w:val="0"/>
                <w:color w:val="138A72"/>
                <w:sz w:val="19"/>
              </w:rPr>
              <w:t xml:space="preserve">Verified</w:t>
            </w:r>
          </w:p>
        </w:tc>
        <w:tc>
          <w:tcPr>
            <w:tcW w:type="dxa" w:w="5260"/>
          </w:tcPr>
          <w:p>
            <w:pPr>
              <w:spacing w:before="0" w:after="0" w:line="252" w:lineRule="auto"/>
              <w:jc w:val="left"/>
            </w:pPr>
            <w:r/>
            <w:r>
              <w:rPr>
                <w:rFonts w:ascii="Arial" w:hAnsi="Arial"/>
                <w:b w:val="0"/>
                <w:i w:val="0"/>
                <w:color w:val="1F2937"/>
                <w:sz w:val="18"/>
              </w:rPr>
              <w:t xml:space="preserve">Each renewal line has SBQQ__RenewedSubscription__c; three Domestic lines map to SUB-0067610, SUB-0067613, and SUB-0067614.</w:t>
            </w:r>
          </w:p>
        </w:tc>
      </w:tr>
      <w:tr>
        <w:tc>
          <w:tcPr>
            <w:tcW w:type="dxa" w:w="2200"/>
          </w:tcPr>
          <w:p>
            <w:pPr>
              <w:spacing w:before="0" w:after="0" w:line="252" w:lineRule="auto"/>
              <w:jc w:val="left"/>
            </w:pPr>
            <w:r/>
            <w:r>
              <w:rPr>
                <w:rFonts w:ascii="Arial" w:hAnsi="Arial"/>
                <w:b w:val="0"/>
                <w:i w:val="0"/>
                <w:color w:val="1F2937"/>
                <w:sz w:val="18"/>
              </w:rPr>
              <w:t xml:space="preserve">Platform price</w:t>
            </w:r>
          </w:p>
        </w:tc>
        <w:tc>
          <w:tcPr>
            <w:tcW w:type="dxa" w:w="1900"/>
            <w:shd w:fill="E4F3EE"/>
          </w:tcPr>
          <w:p>
            <w:pPr>
              <w:spacing w:before="0" w:after="0" w:line="252" w:lineRule="auto"/>
              <w:jc w:val="center"/>
            </w:pPr>
            <w:r>
              <w:rPr>
                <w:color w:val="138A72"/>
                <w:b/>
              </w:rPr>
            </w:r>
            <w:r>
              <w:rPr>
                <w:rFonts w:ascii="Arial" w:hAnsi="Arial"/>
                <w:b/>
                <w:i w:val="0"/>
                <w:color w:val="138A72"/>
                <w:sz w:val="19"/>
              </w:rPr>
              <w:t xml:space="preserve">Observed</w:t>
            </w:r>
          </w:p>
        </w:tc>
        <w:tc>
          <w:tcPr>
            <w:tcW w:type="dxa" w:w="5260"/>
          </w:tcPr>
          <w:p>
            <w:pPr>
              <w:spacing w:before="0" w:after="0" w:line="252" w:lineRule="auto"/>
              <w:jc w:val="left"/>
            </w:pPr>
            <w:r/>
            <w:r>
              <w:rPr>
                <w:rFonts w:ascii="Arial" w:hAnsi="Arial"/>
                <w:b w:val="0"/>
                <w:i w:val="0"/>
                <w:color w:val="1F2937"/>
                <w:sz w:val="18"/>
              </w:rPr>
              <w:t xml:space="preserve">SUB-0067611 has Renewal Price 10,000; its renewal line has NS Billing Price 10,000 and Net Price 360,000.</w:t>
            </w:r>
          </w:p>
        </w:tc>
      </w:tr>
      <w:tr>
        <w:tc>
          <w:tcPr>
            <w:tcW w:type="dxa" w:w="2200"/>
          </w:tcPr>
          <w:p>
            <w:pPr>
              <w:spacing w:before="0" w:after="0" w:line="252" w:lineRule="auto"/>
              <w:jc w:val="left"/>
            </w:pPr>
            <w:r/>
            <w:r>
              <w:rPr>
                <w:rFonts w:ascii="Arial" w:hAnsi="Arial"/>
                <w:b w:val="0"/>
                <w:i w:val="0"/>
                <w:color w:val="1F2937"/>
                <w:sz w:val="18"/>
              </w:rPr>
              <w:t xml:space="preserve">Early generation</w:t>
            </w:r>
          </w:p>
        </w:tc>
        <w:tc>
          <w:tcPr>
            <w:tcW w:type="dxa" w:w="1900"/>
            <w:shd w:fill="E4F3EE"/>
          </w:tcPr>
          <w:p>
            <w:pPr>
              <w:spacing w:before="0" w:after="0" w:line="252" w:lineRule="auto"/>
              <w:jc w:val="center"/>
            </w:pPr>
            <w:r>
              <w:rPr>
                <w:color w:val="138A72"/>
                <w:b/>
              </w:rPr>
            </w:r>
            <w:r>
              <w:rPr>
                <w:rFonts w:ascii="Arial" w:hAnsi="Arial"/>
                <w:b/>
                <w:i w:val="0"/>
                <w:color w:val="138A72"/>
                <w:sz w:val="19"/>
              </w:rPr>
              <w:t xml:space="preserve">Observed</w:t>
            </w:r>
          </w:p>
        </w:tc>
        <w:tc>
          <w:tcPr>
            <w:tcW w:type="dxa" w:w="5260"/>
          </w:tcPr>
          <w:p>
            <w:pPr>
              <w:spacing w:before="0" w:after="0" w:line="252" w:lineRule="auto"/>
              <w:jc w:val="left"/>
            </w:pPr>
            <w:r/>
            <w:r>
              <w:rPr>
                <w:rFonts w:ascii="Arial" w:hAnsi="Arial"/>
                <w:b w:val="0"/>
                <w:i w:val="0"/>
                <w:color w:val="1F2937"/>
                <w:sz w:val="18"/>
              </w:rPr>
              <w:t xml:space="preserve">Renewal header starts one day after the latest subscription end date. Generation before Year 3 start did not shift the header period.</w:t>
            </w:r>
          </w:p>
        </w:tc>
      </w:tr>
      <w:tr>
        <w:tc>
          <w:tcPr>
            <w:tcW w:type="dxa" w:w="2200"/>
          </w:tcPr>
          <w:p>
            <w:pPr>
              <w:spacing w:before="0" w:after="0" w:line="252" w:lineRule="auto"/>
              <w:jc w:val="left"/>
            </w:pPr>
            <w:r/>
            <w:r>
              <w:rPr>
                <w:rFonts w:ascii="Arial" w:hAnsi="Arial"/>
                <w:b w:val="0"/>
                <w:i w:val="0"/>
                <w:color w:val="1F2937"/>
                <w:sz w:val="18"/>
              </w:rPr>
              <w:t xml:space="preserve">NS Line Item ID</w:t>
            </w:r>
          </w:p>
        </w:tc>
        <w:tc>
          <w:tcPr>
            <w:tcW w:type="dxa" w:w="1900"/>
            <w:shd w:fill="FFF4D6"/>
          </w:tcPr>
          <w:p>
            <w:pPr>
              <w:spacing w:before="0" w:after="0" w:line="252" w:lineRule="auto"/>
              <w:jc w:val="center"/>
            </w:pPr>
            <w:r>
              <w:rPr>
                <w:color w:val="B7791F"/>
                <w:b/>
              </w:rPr>
            </w:r>
            <w:r>
              <w:rPr>
                <w:rFonts w:ascii="Arial" w:hAnsi="Arial"/>
                <w:b/>
                <w:i w:val="0"/>
                <w:color w:val="B7791F"/>
                <w:sz w:val="19"/>
              </w:rPr>
              <w:t xml:space="preserve">Blocked</w:t>
            </w:r>
          </w:p>
        </w:tc>
        <w:tc>
          <w:tcPr>
            <w:tcW w:type="dxa" w:w="5260"/>
          </w:tcPr>
          <w:p>
            <w:pPr>
              <w:spacing w:before="0" w:after="0" w:line="252" w:lineRule="auto"/>
              <w:jc w:val="left"/>
            </w:pPr>
            <w:r/>
            <w:r>
              <w:rPr>
                <w:rFonts w:ascii="Arial" w:hAnsi="Arial"/>
                <w:b w:val="0"/>
                <w:i w:val="0"/>
                <w:color w:val="1F2937"/>
                <w:sz w:val="18"/>
              </w:rPr>
              <w:t xml:space="preserve">NS_ID__c is null on all five Subscriptions and all renewal lines; populated-ID propagation cannot be concluded.</w:t>
            </w:r>
          </w:p>
        </w:tc>
      </w:tr>
      <w:tr>
        <w:tc>
          <w:tcPr>
            <w:tcW w:type="dxa" w:w="2200"/>
          </w:tcPr>
          <w:p>
            <w:pPr>
              <w:spacing w:before="0" w:after="0" w:line="252" w:lineRule="auto"/>
              <w:jc w:val="left"/>
            </w:pPr>
            <w:r/>
            <w:r>
              <w:rPr>
                <w:rFonts w:ascii="Arial" w:hAnsi="Arial"/>
                <w:b w:val="0"/>
                <w:i w:val="0"/>
                <w:color w:val="1F2937"/>
                <w:sz w:val="18"/>
              </w:rPr>
              <w:t xml:space="preserve">Non-ramped group</w:t>
            </w:r>
          </w:p>
        </w:tc>
        <w:tc>
          <w:tcPr>
            <w:tcW w:type="dxa" w:w="1900"/>
            <w:shd w:fill="FDE8E8"/>
          </w:tcPr>
          <w:p>
            <w:pPr>
              <w:spacing w:before="0" w:after="0" w:line="252" w:lineRule="auto"/>
              <w:jc w:val="center"/>
            </w:pPr>
            <w:r>
              <w:rPr>
                <w:color w:val="C53030"/>
                <w:b/>
              </w:rPr>
            </w:r>
            <w:r>
              <w:rPr>
                <w:rFonts w:ascii="Arial" w:hAnsi="Arial"/>
                <w:b/>
                <w:i w:val="0"/>
                <w:color w:val="C53030"/>
                <w:sz w:val="19"/>
              </w:rPr>
              <w:t xml:space="preserve">Missing</w:t>
            </w:r>
          </w:p>
        </w:tc>
        <w:tc>
          <w:tcPr>
            <w:tcW w:type="dxa" w:w="5260"/>
          </w:tcPr>
          <w:p>
            <w:pPr>
              <w:spacing w:before="0" w:after="0" w:line="252" w:lineRule="auto"/>
              <w:jc w:val="left"/>
            </w:pPr>
            <w:r/>
            <w:r>
              <w:rPr>
                <w:rFonts w:ascii="Arial" w:hAnsi="Arial"/>
                <w:b w:val="0"/>
                <w:i w:val="0"/>
                <w:color w:val="1F2937"/>
                <w:sz w:val="18"/>
              </w:rPr>
              <w:t xml:space="preserve">No Allow Product Ramping=false group exists in the named original quote. Execute the second required contract lifecycle.</w:t>
            </w:r>
          </w:p>
        </w:tc>
      </w:tr>
    </w:tbl>
    <w:p>
      <w:pPr>
        <w:spacing w:after="20"/>
      </w:pPr>
    </w:p>
    <w:p>
      <w:r>
        <w:br w:type="page"/>
      </w:r>
    </w:p>
    <w:p>
      <w:pPr>
        <w:pStyle w:val="Heading1"/>
        <w:keepNext/>
      </w:pPr>
      <w:r>
        <w:t xml:space="preserve">Quote group and subscription lineage architecture</w:t>
      </w:r>
    </w:p>
    <w:p>
      <w:pPr>
        <w:spacing w:after="120" w:line="264" w:lineRule="auto"/>
      </w:pPr>
      <w:r>
        <w:rPr>
          <w:rFonts w:ascii="Arial" w:hAnsi="Arial"/>
          <w:b w:val="0"/>
          <w:i w:val="0"/>
          <w:color w:val="1F2937"/>
          <w:sz w:val="22"/>
        </w:rPr>
        <w:t xml:space="preserve">Quote Line Group is a quote-only container. Contracting creates independent Subscriptions that retain source Quote Line lineage; amendments and renewals create ungrouped lifecycle lines.</w:t>
      </w:r>
    </w:p>
    <w:p>
      <w:pPr>
        <w:keepNext/>
        <w:jc w:val="center"/>
      </w:pPr>
      <w:r>
        <w:drawing>
          <wp:inline xmlns:a="http://schemas.openxmlformats.org/drawingml/2006/main" xmlns:pic="http://schemas.openxmlformats.org/drawingml/2006/picture">
            <wp:extent cx="5897880" cy="4054792"/>
            <wp:docPr id="2" name="Picture 2" title="Figure 2. SCC-3385 Work Order creation and dependency model" descr="Architecture diagram relating Trouble Ticket Case prerequisites, the Create Work Order Flow, WorkOrder fields, Case activity logging, duplicate prevention, WorkOrder layouts, and the preserved Book Appointment action. Blockers are shown in red or amber."/>
            <wp:cNvGraphicFramePr>
              <a:graphicFrameLocks noChangeAspect="1"/>
            </wp:cNvGraphicFramePr>
            <a:graphic>
              <a:graphicData uri="http://schemas.openxmlformats.org/drawingml/2006/picture">
                <pic:pic>
                  <pic:nvPicPr>
                    <pic:cNvPr id="0" name="scc3385-work-order-model.png"/>
                    <pic:cNvPicPr/>
                  </pic:nvPicPr>
                  <pic:blipFill>
                    <a:blip r:embed="rId18"/>
                    <a:stretch>
                      <a:fillRect/>
                    </a:stretch>
                  </pic:blipFill>
                  <pic:spPr>
                    <a:xfrm>
                      <a:off x="0" y="0"/>
                      <a:ext cx="5897880" cy="4054792"/>
                    </a:xfrm>
                    <a:prstGeom prst="rect"/>
                  </pic:spPr>
                </pic:pic>
              </a:graphicData>
            </a:graphic>
          </wp:inline>
        </w:drawing>
      </w:r>
    </w:p>
    <w:p>
      <w:pPr>
        <w:keepNext/>
        <w:spacing w:before="40" w:after="160"/>
        <w:jc w:val="center"/>
      </w:pPr>
      <w:r>
        <w:rPr>
          <w:rFonts w:ascii="Arial" w:hAnsi="Arial"/>
          <w:b w:val="0"/>
          <w:i/>
          <w:color w:val="5B6777"/>
          <w:sz w:val="18"/>
        </w:rPr>
        <w:t xml:space="preserve">Figure 2. SALDEV-1475 identity boundary and renewal-line lineage</w:t>
      </w:r>
    </w:p>
    <w:p>
      <w:pPr>
        <w:spacing w:after="120" w:line="264" w:lineRule="auto"/>
      </w:pPr>
      <w:r>
        <w:rPr>
          <w:rFonts w:ascii="Arial" w:hAnsi="Arial"/>
          <w:b/>
          <w:i w:val="0"/>
          <w:color w:val="1F2937"/>
          <w:sz w:val="22"/>
        </w:rPr>
        <w:t xml:space="preserve">Architect interpretation:</w:t>
      </w:r>
      <w:r>
        <w:rPr>
          <w:rFonts w:ascii="Arial" w:hAnsi="Arial"/>
          <w:b w:val="0"/>
          <w:i w:val="0"/>
          <w:color w:val="1F2937"/>
          <w:sz w:val="22"/>
        </w:rPr>
        <w:t xml:space="preserve"> the live data and Salesforce guidance agree that groups do not survive amendment or renewal. Preserve identity only through an explicit custom data model and reconstruction design.</w:t>
      </w:r>
    </w:p>
    <w:p>
      <w:r>
        <w:br w:type="page"/>
      </w:r>
    </w:p>
    <w:p>
      <w:pPr>
        <w:pStyle w:val="Heading1"/>
        <w:keepNext/>
      </w:pPr>
      <w:r>
        <w:t xml:space="preserve">Required completion gates</w:t>
      </w:r>
    </w:p>
    <w:tbl>
      <w:tblPr>
        <w:tblStyle w:val="TableGrid"/>
        <w:tblW w:type="dxa" w:w="9360"/>
        <w:jc w:val="left"/>
        <w:tblLayout w:type="fixed"/>
        <w:tblLook w:firstColumn="1" w:firstRow="1" w:lastColumn="0" w:lastRow="0" w:noHBand="0" w:noVBand="1" w:val="04A0"/>
        <w:tblInd w:w="120" w:type="dxa"/>
      </w:tblPr>
      <w:tblGrid>
        <w:gridCol w:w="850"/>
        <w:gridCol w:w="2500"/>
        <w:gridCol w:w="2000"/>
        <w:gridCol w:w="4010"/>
      </w:tblGrid>
      <w:tr>
        <w:trPr>
          <w:tblHeader w:val="true"/>
        </w:trPr>
        <w:tc>
          <w:tcPr>
            <w:tcW w:type="dxa" w:w="8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Gate</w:t>
            </w:r>
          </w:p>
        </w:tc>
        <w:tc>
          <w:tcPr>
            <w:tcW w:type="dxa" w:w="2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0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Owner</w:t>
            </w:r>
          </w:p>
        </w:tc>
        <w:tc>
          <w:tcPr>
            <w:tcW w:type="dxa" w:w="40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850"/>
          </w:tcPr>
          <w:p>
            <w:pPr>
              <w:spacing w:before="0" w:after="0" w:line="252" w:lineRule="auto"/>
              <w:jc w:val="left"/>
            </w:pPr>
            <w:r/>
            <w:r>
              <w:rPr>
                <w:rFonts w:ascii="Arial" w:hAnsi="Arial"/>
                <w:b w:val="0"/>
                <w:i w:val="0"/>
                <w:color w:val="1F2937"/>
                <w:sz w:val="18"/>
              </w:rPr>
              <w:t>1</w:t>
            </w:r>
          </w:p>
        </w:tc>
        <w:tc>
          <w:tcPr>
            <w:tcW w:type="dxa" w:w="2500"/>
          </w:tcPr>
          <w:p>
            <w:pPr>
              <w:spacing w:before="0" w:after="0" w:line="252" w:lineRule="auto"/>
              <w:jc w:val="left"/>
            </w:pPr>
            <w:r/>
            <w:r>
              <w:rPr>
                <w:rFonts w:ascii="Arial" w:hAnsi="Arial"/>
                <w:b w:val="0"/>
                <w:i w:val="0"/>
                <w:color w:val="1F2937"/>
                <w:sz w:val="18"/>
              </w:rPr>
              <w:t xml:space="preserve">Run non-ramped lifecycle</w:t>
            </w:r>
          </w:p>
        </w:tc>
        <w:tc>
          <w:tcPr>
            <w:tcW w:type="dxa" w:w="2000"/>
          </w:tcPr>
          <w:p>
            <w:pPr>
              <w:spacing w:before="0" w:after="0" w:line="252" w:lineRule="auto"/>
              <w:jc w:val="left"/>
            </w:pPr>
            <w:r/>
            <w:r>
              <w:rPr>
                <w:rFonts w:ascii="Arial" w:hAnsi="Arial"/>
                <w:b w:val="0"/>
                <w:i w:val="0"/>
                <w:color w:val="1F2937"/>
                <w:sz w:val="18"/>
              </w:rPr>
              <w:t xml:space="preserve">QA / Developer</w:t>
            </w:r>
          </w:p>
        </w:tc>
        <w:tc>
          <w:tcPr>
            <w:tcW w:type="dxa" w:w="4010"/>
          </w:tcPr>
          <w:p>
            <w:pPr>
              <w:spacing w:before="0" w:after="0" w:line="252" w:lineRule="auto"/>
              <w:jc w:val="left"/>
            </w:pPr>
            <w:r/>
            <w:r>
              <w:rPr>
                <w:rFonts w:ascii="Arial" w:hAnsi="Arial"/>
                <w:b w:val="0"/>
                <w:i w:val="0"/>
                <w:color w:val="1F2937"/>
                <w:sz w:val="18"/>
              </w:rPr>
              <w:t xml:space="preserve">Create Allow Product Ramping=false groups, contract, amend, and renew; capture group counts and line-level links.</w:t>
            </w:r>
          </w:p>
        </w:tc>
      </w:tr>
      <w:tr>
        <w:tc>
          <w:tcPr>
            <w:tcW w:type="dxa" w:w="850"/>
          </w:tcPr>
          <w:p>
            <w:pPr>
              <w:spacing w:before="0" w:after="0" w:line="252" w:lineRule="auto"/>
              <w:jc w:val="left"/>
            </w:pPr>
            <w:r/>
            <w:r>
              <w:rPr>
                <w:rFonts w:ascii="Arial" w:hAnsi="Arial"/>
                <w:b w:val="0"/>
                <w:i w:val="0"/>
                <w:color w:val="1F2937"/>
                <w:sz w:val="18"/>
              </w:rPr>
              <w:t>2</w:t>
            </w:r>
          </w:p>
        </w:tc>
        <w:tc>
          <w:tcPr>
            <w:tcW w:type="dxa" w:w="2500"/>
          </w:tcPr>
          <w:p>
            <w:pPr>
              <w:spacing w:before="0" w:after="0" w:line="252" w:lineRule="auto"/>
              <w:jc w:val="left"/>
            </w:pPr>
            <w:r/>
            <w:r>
              <w:rPr>
                <w:rFonts w:ascii="Arial" w:hAnsi="Arial"/>
                <w:b w:val="0"/>
                <w:i w:val="0"/>
                <w:color w:val="1F2937"/>
                <w:sz w:val="18"/>
              </w:rPr>
              <w:t xml:space="preserve">Test populated NS IDs</w:t>
            </w:r>
          </w:p>
        </w:tc>
        <w:tc>
          <w:tcPr>
            <w:tcW w:type="dxa" w:w="2000"/>
          </w:tcPr>
          <w:p>
            <w:pPr>
              <w:spacing w:before="0" w:after="0" w:line="252" w:lineRule="auto"/>
              <w:jc w:val="left"/>
            </w:pPr>
            <w:r/>
            <w:r>
              <w:rPr>
                <w:rFonts w:ascii="Arial" w:hAnsi="Arial"/>
                <w:b w:val="0"/>
                <w:i w:val="0"/>
                <w:color w:val="1F2937"/>
                <w:sz w:val="18"/>
              </w:rPr>
              <w:t xml:space="preserve">Integration / QA</w:t>
            </w:r>
          </w:p>
        </w:tc>
        <w:tc>
          <w:tcPr>
            <w:tcW w:type="dxa" w:w="4010"/>
          </w:tcPr>
          <w:p>
            <w:pPr>
              <w:spacing w:before="0" w:after="0" w:line="252" w:lineRule="auto"/>
              <w:jc w:val="left"/>
            </w:pPr>
            <w:r/>
            <w:r>
              <w:rPr>
                <w:rFonts w:ascii="Arial" w:hAnsi="Arial"/>
                <w:b w:val="0"/>
                <w:i w:val="0"/>
                <w:color w:val="1F2937"/>
                <w:sz w:val="18"/>
              </w:rPr>
              <w:t xml:space="preserve">Use subscriptions with populated NS Line Item ID and compare subscription, amendment, and renewal values field by field.</w:t>
            </w:r>
          </w:p>
        </w:tc>
      </w:tr>
      <w:tr>
        <w:tc>
          <w:tcPr>
            <w:tcW w:type="dxa" w:w="850"/>
          </w:tcPr>
          <w:p>
            <w:pPr>
              <w:spacing w:before="0" w:after="0" w:line="252" w:lineRule="auto"/>
              <w:jc w:val="left"/>
            </w:pPr>
            <w:r/>
            <w:r>
              <w:rPr>
                <w:rFonts w:ascii="Arial" w:hAnsi="Arial"/>
                <w:b w:val="0"/>
                <w:i w:val="0"/>
                <w:color w:val="1F2937"/>
                <w:sz w:val="18"/>
              </w:rPr>
              <w:t>3</w:t>
            </w:r>
          </w:p>
        </w:tc>
        <w:tc>
          <w:tcPr>
            <w:tcW w:type="dxa" w:w="2500"/>
          </w:tcPr>
          <w:p>
            <w:pPr>
              <w:spacing w:before="0" w:after="0" w:line="252" w:lineRule="auto"/>
              <w:jc w:val="left"/>
            </w:pPr>
            <w:r/>
            <w:r>
              <w:rPr>
                <w:rFonts w:ascii="Arial" w:hAnsi="Arial"/>
                <w:b w:val="0"/>
                <w:i w:val="0"/>
                <w:color w:val="1F2937"/>
                <w:sz w:val="18"/>
              </w:rPr>
              <w:t xml:space="preserve">Confirm renewal intent</w:t>
            </w:r>
          </w:p>
        </w:tc>
        <w:tc>
          <w:tcPr>
            <w:tcW w:type="dxa" w:w="2000"/>
          </w:tcPr>
          <w:p>
            <w:pPr>
              <w:spacing w:before="0" w:after="0" w:line="252" w:lineRule="auto"/>
              <w:jc w:val="left"/>
            </w:pPr>
            <w:r/>
            <w:r>
              <w:rPr>
                <w:rFonts w:ascii="Arial" w:hAnsi="Arial"/>
                <w:b w:val="0"/>
                <w:i w:val="0"/>
                <w:color w:val="1F2937"/>
                <w:sz w:val="18"/>
              </w:rPr>
              <w:t xml:space="preserve">Product owner / Architect</w:t>
            </w:r>
          </w:p>
        </w:tc>
        <w:tc>
          <w:tcPr>
            <w:tcW w:type="dxa" w:w="4010"/>
          </w:tcPr>
          <w:p>
            <w:pPr>
              <w:spacing w:before="0" w:after="0" w:line="252" w:lineRule="auto"/>
              <w:jc w:val="left"/>
            </w:pPr>
            <w:r/>
            <w:r>
              <w:rPr>
                <w:rFonts w:ascii="Arial" w:hAnsi="Arial"/>
                <w:b w:val="0"/>
                <w:i w:val="0"/>
                <w:color w:val="1F2937"/>
                <w:sz w:val="18"/>
              </w:rPr>
              <w:t xml:space="preserve">Choose whether three stepped subscriptions should remain separate or consolidate to the final commercial period.</w:t>
            </w:r>
          </w:p>
        </w:tc>
      </w:tr>
      <w:tr>
        <w:tc>
          <w:tcPr>
            <w:tcW w:type="dxa" w:w="850"/>
          </w:tcPr>
          <w:p>
            <w:pPr>
              <w:spacing w:before="0" w:after="0" w:line="252" w:lineRule="auto"/>
              <w:jc w:val="left"/>
            </w:pPr>
            <w:r/>
            <w:r>
              <w:rPr>
                <w:rFonts w:ascii="Arial" w:hAnsi="Arial"/>
                <w:b w:val="0"/>
                <w:i w:val="0"/>
                <w:color w:val="1F2937"/>
                <w:sz w:val="18"/>
              </w:rPr>
              <w:t>4</w:t>
            </w:r>
          </w:p>
        </w:tc>
        <w:tc>
          <w:tcPr>
            <w:tcW w:type="dxa" w:w="2500"/>
          </w:tcPr>
          <w:p>
            <w:pPr>
              <w:spacing w:before="0" w:after="0" w:line="252" w:lineRule="auto"/>
              <w:jc w:val="left"/>
            </w:pPr>
            <w:r/>
            <w:r>
              <w:rPr>
                <w:rFonts w:ascii="Arial" w:hAnsi="Arial"/>
                <w:b w:val="0"/>
                <w:i w:val="0"/>
                <w:color w:val="1F2937"/>
                <w:sz w:val="18"/>
              </w:rPr>
              <w:t xml:space="preserve">Define persistent group key</w:t>
            </w:r>
          </w:p>
        </w:tc>
        <w:tc>
          <w:tcPr>
            <w:tcW w:type="dxa" w:w="2000"/>
          </w:tcPr>
          <w:p>
            <w:pPr>
              <w:spacing w:before="0" w:after="0" w:line="252" w:lineRule="auto"/>
              <w:jc w:val="left"/>
            </w:pPr>
            <w:r/>
            <w:r>
              <w:rPr>
                <w:rFonts w:ascii="Arial" w:hAnsi="Arial"/>
                <w:b w:val="0"/>
                <w:i w:val="0"/>
                <w:color w:val="1F2937"/>
                <w:sz w:val="18"/>
              </w:rPr>
              <w:t xml:space="preserve">Solution architect</w:t>
            </w:r>
          </w:p>
        </w:tc>
        <w:tc>
          <w:tcPr>
            <w:tcW w:type="dxa" w:w="4010"/>
          </w:tcPr>
          <w:p>
            <w:pPr>
              <w:spacing w:before="0" w:after="0" w:line="252" w:lineRule="auto"/>
              <w:jc w:val="left"/>
            </w:pPr>
            <w:r/>
            <w:r>
              <w:rPr>
                <w:rFonts w:ascii="Arial" w:hAnsi="Arial"/>
                <w:b w:val="0"/>
                <w:i w:val="0"/>
                <w:color w:val="1F2937"/>
                <w:sz w:val="18"/>
              </w:rPr>
              <w:t xml:space="preserve">If lifecycle grouping is required, define a custom identifier on source lines/subscriptions and deterministic reconstruction rules.</w:t>
            </w:r>
          </w:p>
        </w:tc>
      </w:tr>
      <w:tr>
        <w:tc>
          <w:tcPr>
            <w:tcW w:type="dxa" w:w="850"/>
          </w:tcPr>
          <w:p>
            <w:pPr>
              <w:spacing w:before="0" w:after="0" w:line="252" w:lineRule="auto"/>
              <w:jc w:val="left"/>
            </w:pPr>
            <w:r/>
            <w:r>
              <w:rPr>
                <w:rFonts w:ascii="Arial" w:hAnsi="Arial"/>
                <w:b w:val="0"/>
                <w:i w:val="0"/>
                <w:color w:val="1F2937"/>
                <w:sz w:val="18"/>
              </w:rPr>
              <w:t>5</w:t>
            </w:r>
          </w:p>
        </w:tc>
        <w:tc>
          <w:tcPr>
            <w:tcW w:type="dxa" w:w="2500"/>
          </w:tcPr>
          <w:p>
            <w:pPr>
              <w:spacing w:before="0" w:after="0" w:line="252" w:lineRule="auto"/>
              <w:jc w:val="left"/>
            </w:pPr>
            <w:r/>
            <w:r>
              <w:rPr>
                <w:rFonts w:ascii="Arial" w:hAnsi="Arial"/>
                <w:b w:val="0"/>
                <w:i w:val="0"/>
                <w:color w:val="1F2937"/>
                <w:sz w:val="18"/>
              </w:rPr>
              <w:t xml:space="preserve">Test pricing variants</w:t>
            </w:r>
          </w:p>
        </w:tc>
        <w:tc>
          <w:tcPr>
            <w:tcW w:type="dxa" w:w="2000"/>
          </w:tcPr>
          <w:p>
            <w:pPr>
              <w:spacing w:before="0" w:after="0" w:line="252" w:lineRule="auto"/>
              <w:jc w:val="left"/>
            </w:pPr>
            <w:r/>
            <w:r>
              <w:rPr>
                <w:rFonts w:ascii="Arial" w:hAnsi="Arial"/>
                <w:b w:val="0"/>
                <w:i w:val="0"/>
                <w:color w:val="1F2937"/>
                <w:sz w:val="18"/>
              </w:rPr>
              <w:t xml:space="preserve">CPQ QA</w:t>
            </w:r>
          </w:p>
        </w:tc>
        <w:tc>
          <w:tcPr>
            <w:tcW w:type="dxa" w:w="4010"/>
          </w:tcPr>
          <w:p>
            <w:pPr>
              <w:spacing w:before="0" w:after="0" w:line="252" w:lineRule="auto"/>
              <w:jc w:val="left"/>
            </w:pPr>
            <w:r/>
            <w:r>
              <w:rPr>
                <w:rFonts w:ascii="Arial" w:hAnsi="Arial"/>
                <w:b w:val="0"/>
                <w:i w:val="0"/>
                <w:color w:val="1F2937"/>
                <w:sz w:val="18"/>
              </w:rPr>
              <w:t xml:space="preserve">Cover non-zero prices by ramp year, renewal pricing methods, uplift, and renewal before each segment start.</w:t>
            </w:r>
          </w:p>
        </w:tc>
      </w:tr>
      <w:tr>
        <w:tc>
          <w:tcPr>
            <w:tcW w:type="dxa" w:w="850"/>
          </w:tcPr>
          <w:p>
            <w:pPr>
              <w:spacing w:before="0" w:after="0" w:line="252" w:lineRule="auto"/>
              <w:jc w:val="left"/>
            </w:pPr>
            <w:r/>
            <w:r>
              <w:rPr>
                <w:rFonts w:ascii="Arial" w:hAnsi="Arial"/>
                <w:b w:val="0"/>
                <w:i w:val="0"/>
                <w:color w:val="1F2937"/>
                <w:sz w:val="18"/>
              </w:rPr>
              <w:t>6</w:t>
            </w:r>
          </w:p>
        </w:tc>
        <w:tc>
          <w:tcPr>
            <w:tcW w:type="dxa" w:w="2500"/>
          </w:tcPr>
          <w:p>
            <w:pPr>
              <w:spacing w:before="0" w:after="0" w:line="252" w:lineRule="auto"/>
              <w:jc w:val="left"/>
            </w:pPr>
            <w:r/>
            <w:r>
              <w:rPr>
                <w:rFonts w:ascii="Arial" w:hAnsi="Arial"/>
                <w:b w:val="0"/>
                <w:i w:val="0"/>
                <w:color w:val="1F2937"/>
                <w:sz w:val="18"/>
              </w:rPr>
              <w:t xml:space="preserve">Coordinate linked stories</w:t>
            </w:r>
          </w:p>
        </w:tc>
        <w:tc>
          <w:tcPr>
            <w:tcW w:type="dxa" w:w="2000"/>
          </w:tcPr>
          <w:p>
            <w:pPr>
              <w:spacing w:before="0" w:after="0" w:line="252" w:lineRule="auto"/>
              <w:jc w:val="left"/>
            </w:pPr>
            <w:r/>
            <w:r>
              <w:rPr>
                <w:rFonts w:ascii="Arial" w:hAnsi="Arial"/>
                <w:b w:val="0"/>
                <w:i w:val="0"/>
                <w:color w:val="1F2937"/>
                <w:sz w:val="18"/>
              </w:rPr>
              <w:t xml:space="preserve">Product owner</w:t>
            </w:r>
          </w:p>
        </w:tc>
        <w:tc>
          <w:tcPr>
            <w:tcW w:type="dxa" w:w="4010"/>
          </w:tcPr>
          <w:p>
            <w:pPr>
              <w:spacing w:before="0" w:after="0" w:line="252" w:lineRule="auto"/>
              <w:jc w:val="left"/>
            </w:pPr>
            <w:r/>
            <w:r>
              <w:rPr>
                <w:rFonts w:ascii="Arial" w:hAnsi="Arial"/>
                <w:b w:val="0"/>
                <w:i w:val="0"/>
                <w:color w:val="1F2937"/>
                <w:sz w:val="18"/>
              </w:rPr>
              <w:t xml:space="preserve">Align the chosen behavior with SALDEV-1439 and SALDEV-1493; do not treat this investigation as implementation approval.</w:t>
            </w:r>
          </w:p>
        </w:tc>
      </w:tr>
    </w:tbl>
    <w:p>
      <w:pPr>
        <w:spacing w:after="20"/>
      </w:pPr>
    </w:p>
    <w:p>
      <w:pPr>
        <w:pStyle w:val="Heading1"/>
        <w:keepNext/>
      </w:pPr>
      <w:r>
        <w:t>Ready-to-paste architect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STORY COMMENT</w:t>
            </w:r>
          </w:p>
          <w:p>
            <w:pPr>
              <w:spacing w:after="0" w:line="259" w:lineRule="auto"/>
            </w:pPr>
            <w:r>
              <w:rPr>
                <w:rFonts w:ascii="Arial" w:hAnsi="Arial"/>
                <w:b/>
                <w:i w:val="0"/>
                <w:color w:val="0B2545"/>
                <w:sz w:val="22"/>
              </w:rPr>
              <w:t xml:space="preserve">Architect review completed for SALDEV-1475 in FlywirePartial using Opportunity OOB-CPQ-Learning-Shrey-20260821, original Quote Q-37942, Contract 00021743, Amendment Quote Q-37946, and Renewal Quote Q-37950. Salesforce CPQ did not copy or recreate Quote Line Groups: five Subscriptions trace indirectly through their Source Quote Lines, while both lifecycle quotes have Group Line Items=false, zero groups, and null line Group IDs. The final-group assumption is rejected because Q-37950 contains three separate Domestic Payments lines, each linked to a different Subscription. The Platform Fee line links to SUB-0067611, whose Renewal Price is 10,000; the renewal line has NS Billing Price 10,000 and Net Price 360,000. The one-time Implementation Fee does not renew. The renewal header correctly spans 24-Sep-2029 through 23-Sep-2030 even though renewal was generated before the final segment started. Changes Requested: complete the required non-ramped lifecycle test and a populated NS_ID__c test before closing the investigation. If group identity must survive, use a persistent custom identifier and deterministic reconstruction automation coordinated with SALDEV-1439 and SALDEV-1493.</w:t>
            </w:r>
          </w:p>
        </w:tc>
      </w:tr>
    </w:tbl>
    <w:p>
      <w:pPr>
        <w:spacing w:after="20"/>
      </w:pPr>
    </w:p>
    <w:p>
      <w:pPr>
        <w:pStyle w:val="Heading2"/>
        <w:keepNext/>
      </w:pPr>
      <w:r>
        <w:t>Evidence boundary</w:t>
      </w:r>
    </w:p>
    <w:p>
      <w:pPr>
        <w:spacing w:after="120" w:line="264" w:lineRule="auto"/>
      </w:pPr>
      <w:r>
        <w:rPr>
          <w:rFonts w:ascii="Arial" w:hAnsi="Arial"/>
          <w:b w:val="0"/>
          <w:i w:val="0"/>
          <w:color w:val="1F2937"/>
          <w:sz w:val="22"/>
        </w:rPr>
        <w:t xml:space="preserve">This assessment combines the SALDEV-1475 ticket text, Salesforce Help KA 004518583, read-only FlywirePartial schema and record queries, and local source review. No records, deployments, activations, pricing calculations, quick deploys, or org metadata changes were performed.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before="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SCC-3385 Create Work Order for Tickets Architect Review</dc:title>
  <dc:subject>Source retrieval and check-only readiness assessment</dc:subject>
  <dc:creator>Solution Architecture Review</dc:creator>
  <cp:keywords>Salesforce, Great Plains, SCC-3385, Work Order, architect review, dry run</cp:keywords>
  <dc:description>generated by python-docx</dc:description>
  <cp:lastModifiedBy/>
  <cp:revision>1</cp:revision>
  <dcterms:created xsi:type="dcterms:W3CDTF">2013-12-23T23:15:00Z</dcterms:created>
  <dcterms:modified xsi:type="dcterms:W3CDTF">2013-12-23T23:15:00Z</dcterms:modified>
  <cp:category/>
</cp:coreProperties>
</file>