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SALDEV 1403 Artifacts and Deployment List</w:t>
      </w:r>
    </w:p>
    <w:p>
      <w:pPr>
        <w:spacing w:before="0" w:after="120" w:line="252" w:lineRule="auto"/>
      </w:pPr>
      <w:r>
        <w:rPr>
          <w:rFonts w:ascii="Calibri" w:hAnsi="Calibri"/>
          <w:b w:val="0"/>
          <w:i w:val="0"/>
          <w:color w:val="000000"/>
          <w:sz w:val="20"/>
        </w:rPr>
        <w:t>Story: Update output documents for stepped-up pricing (OmniStudio)   |   Reference environment: FlywirePartial   |   7 September 2026</w:t>
      </w:r>
    </w:p>
    <w:p>
      <w:pPr>
        <w:spacing w:before="0" w:after="120" w:line="252" w:lineRule="auto"/>
      </w:pPr>
      <w:r>
        <w:rPr>
          <w:rFonts w:ascii="Calibri" w:hAnsi="Calibri"/>
          <w:b/>
          <w:i w:val="0"/>
          <w:color w:val="000000"/>
          <w:sz w:val="20"/>
        </w:rPr>
        <w:t>Required change set: two Data Mappers and one proposal DOCX. No Apex class or Apex test is required. These changes are already present in Partial; this list describes the scope to promote to another approved environment, not a request to repeat the Partial deployment.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550"/>
        <w:gridCol w:w="2600"/>
        <w:gridCol w:w="2900"/>
        <w:gridCol w:w="2350"/>
        <w:gridCol w:w="5000"/>
      </w:tblGrid>
      <w:tr>
        <w:trPr>
          <w:tblHeader/>
          <w:cantSplit/>
        </w:trPr>
        <w:tc>
          <w:tcPr>
            <w:tcW w:type="dxa" w:w="155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 and action</w:t>
            </w:r>
          </w:p>
        </w:tc>
        <w:tc>
          <w:tcPr>
            <w:tcW w:type="dxa" w:w="260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Component name</w:t>
            </w:r>
          </w:p>
        </w:tc>
        <w:tc>
          <w:tcPr>
            <w:tcW w:type="dxa" w:w="290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Source API name or record ID</w:t>
            </w:r>
          </w:p>
        </w:tc>
        <w:tc>
          <w:tcPr>
            <w:tcW w:type="dxa" w:w="235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Dependency</w:t>
            </w:r>
          </w:p>
        </w:tc>
        <w:tc>
          <w:tcPr>
            <w:tcW w:type="dxa" w:w="500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Change and deployment scope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Extract Data Mapper</w:t>
              <w:br/>
              <w:t>INCLUDE</w:t>
            </w:r>
          </w:p>
        </w:tc>
        <w:tc>
          <w:tcPr>
            <w:tcW w:type="dxa" w:w="2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GetQuoteProposalDataSteppedUpPricing</w:t>
            </w:r>
          </w:p>
        </w:tc>
        <w:tc>
          <w:tcPr>
            <w:tcW w:type="dxa" w:w="29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0jIhG0000000GsnUAE</w:t>
              <w:br/>
              <w:t>Type: Extract</w:t>
            </w:r>
          </w:p>
        </w:tc>
        <w:tc>
          <w:tcPr>
            <w:tcW w:type="dxa" w:w="2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Quote, Quote Line Group and Quote Line data</w:t>
            </w:r>
          </w:p>
        </w:tc>
        <w:tc>
          <w:tcPr>
            <w:tcW w:type="dxa" w:w="50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Four added items: group start-date/term/sequence sorting; grouped line sorting; ungrouped line sorting; group subscription-term mapping. Preserve the other Extract items.</w:t>
            </w:r>
          </w:p>
        </w:tc>
      </w:tr>
      <w:tr>
        <w:trPr>
          <w:cantSplit/>
        </w:trPr>
        <w:tc>
          <w:tcPr>
            <w:tcW w:type="dxa" w:w="1550"/>
            <w:shd w:fill="F2F4F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Transform Data Mapper</w:t>
              <w:br/>
              <w:t>INCLUDE</w:t>
            </w:r>
          </w:p>
        </w:tc>
        <w:tc>
          <w:tcPr>
            <w:tcW w:type="dxa" w:w="2600"/>
            <w:shd w:fill="F2F4F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CPQQuoteProposalDocumentSteppedUpPricing</w:t>
            </w:r>
          </w:p>
        </w:tc>
        <w:tc>
          <w:tcPr>
            <w:tcW w:type="dxa" w:w="2900"/>
            <w:shd w:fill="F2F4F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0jIhG0000000HX7UAM</w:t>
              <w:br/>
              <w:t>Type: Transform</w:t>
            </w:r>
          </w:p>
        </w:tc>
        <w:tc>
          <w:tcPr>
            <w:tcW w:type="dxa" w:w="2350"/>
            <w:shd w:fill="F2F4F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Extract output and existing document token model</w:t>
            </w:r>
          </w:p>
        </w:tc>
        <w:tc>
          <w:tcPr>
            <w:tcW w:type="dxa" w:w="5000"/>
            <w:shd w:fill="F2F4F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Two Description formula updates: append Rate Details with null-safe spacing and preserve Cancellation, Quantity Increase and Quantity Reduction suffixes.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Template content</w:t>
              <w:br/>
              <w:t>INCLUDE</w:t>
            </w:r>
          </w:p>
        </w:tc>
        <w:tc>
          <w:tcPr>
            <w:tcW w:type="dxa" w:w="2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CPQ Quote Proposal</w:t>
              <w:br/>
              <w:t>Updated proposal DOCX</w:t>
            </w:r>
          </w:p>
        </w:tc>
        <w:tc>
          <w:tcPr>
            <w:tcW w:type="dxa" w:w="29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ContentVersion: 068hG000003PryiQAC</w:t>
              <w:br/>
              <w:t>ContentDocument: 069hG000003DZfnQAG</w:t>
            </w:r>
          </w:p>
        </w:tc>
        <w:tc>
          <w:tcPr>
            <w:tcW w:type="dxa" w:w="2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Existing CPQ Quote Proposal template and content link</w:t>
            </w:r>
          </w:p>
        </w:tc>
        <w:tc>
          <w:tcPr>
            <w:tcW w:type="dxa" w:w="50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Both grouped branches use sequential Term n: XX Months headings. Remove both service-period paragraphs. Preserve tables, signature content and Ship-To conditions.</w:t>
            </w:r>
          </w:p>
        </w:tc>
      </w:tr>
      <w:tr>
        <w:trPr>
          <w:cantSplit/>
        </w:trPr>
        <w:tc>
          <w:tcPr>
            <w:tcW w:type="dxa" w:w="1550"/>
            <w:shd w:fill="F2F4F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Document Template</w:t>
              <w:br/>
              <w:t>DEPENDENCY ONLY</w:t>
            </w:r>
          </w:p>
        </w:tc>
        <w:tc>
          <w:tcPr>
            <w:tcW w:type="dxa" w:w="2600"/>
            <w:shd w:fill="F2F4F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CPQ Quote Proposal</w:t>
            </w:r>
          </w:p>
        </w:tc>
        <w:tc>
          <w:tcPr>
            <w:tcW w:type="dxa" w:w="2900"/>
            <w:shd w:fill="F2F4F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2dtPb0000000BwLIAU</w:t>
              <w:br/>
              <w:t>MicrosoftWord / ClientSide</w:t>
              <w:br/>
              <w:t>Link: 2ddhG0000001bwnQAA</w:t>
            </w:r>
          </w:p>
        </w:tc>
        <w:tc>
          <w:tcPr>
            <w:tcW w:type="dxa" w:w="2350"/>
            <w:shd w:fill="F2F4F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Transform output and proposal content</w:t>
            </w:r>
          </w:p>
        </w:tc>
        <w:tc>
          <w:tcPr>
            <w:tcW w:type="dxa" w:w="5000"/>
            <w:shd w:fill="F2F4F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Existing template configuration is unchanged. Verify the target template and its content link resolve to the updated DOCX. Do not add an unrelated template-record change.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OmniScript</w:t>
              <w:br/>
              <w:t>DEPENDENCY ONLY</w:t>
            </w:r>
          </w:p>
        </w:tc>
        <w:tc>
          <w:tcPr>
            <w:tcW w:type="dxa" w:w="2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Generate Quote Document - SteppedUpPricing</w:t>
              <w:br/>
              <w:t>Existing version 2</w:t>
            </w:r>
          </w:p>
        </w:tc>
        <w:tc>
          <w:tcPr>
            <w:tcW w:type="dxa" w:w="29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0jNhG0000000umzUAA</w:t>
              <w:br/>
              <w:t>CPQ / QuoteDocument / English</w:t>
            </w:r>
          </w:p>
        </w:tc>
        <w:tc>
          <w:tcPr>
            <w:tcW w:type="dxa" w:w="2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Both Data Mappers and template-selection action</w:t>
            </w:r>
          </w:p>
        </w:tc>
        <w:tc>
          <w:tcPr>
            <w:tcW w:type="dxa" w:w="50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Existing entry point is unchanged. Verify it exists and is active in the target. No new OmniScript version or activation change belongs to this fix.</w:t>
            </w:r>
          </w:p>
        </w:tc>
      </w:tr>
    </w:tbl>
    <w:p>
      <w:pPr>
        <w:spacing w:before="0" w:after="120" w:line="252" w:lineRule="auto"/>
      </w:pPr>
      <w:r>
        <w:rPr>
          <w:rFonts w:ascii="Calibri" w:hAnsi="Calibri"/>
          <w:b w:val="0"/>
          <w:i w:val="0"/>
          <w:color w:val="000000"/>
          <w:sz w:val="20"/>
        </w:rPr>
        <w:t>Recommended order: 1) Extract Data Mapper  2) Transform Data Mapper  3) Proposal DOCX and existing content association  4) Verify dependencies  5) Run the scoped validation and business tests.</w:t>
      </w:r>
    </w:p>
    <w:p>
      <w:pPr>
        <w:spacing w:before="0" w:after="120" w:line="252" w:lineRule="auto"/>
      </w:pPr>
      <w:r>
        <w:rPr>
          <w:rFonts w:ascii="Calibri" w:hAnsi="Calibri"/>
          <w:b w:val="0"/>
          <w:i w:val="0"/>
          <w:color w:val="000000"/>
          <w:sz w:val="20"/>
        </w:rPr>
        <w:t>All record IDs shown are Partial reference IDs. Resolve records and relationships in the target org; do not reuse source IDs as target IDs.</w:t>
      </w:r>
    </w:p>
    <w:p>
      <w:r>
        <w:br w:type="page"/>
      </w:r>
    </w:p>
    <w:p>
      <w:pPr>
        <w:pStyle w:val="Heading1"/>
      </w:pPr>
      <w:r>
        <w:t>Exact changes and deployment handling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100"/>
        <w:gridCol w:w="2800"/>
        <w:gridCol w:w="8500"/>
      </w:tblGrid>
      <w:tr>
        <w:trPr>
          <w:tblHeader/>
          <w:cantSplit/>
        </w:trPr>
        <w:tc>
          <w:tcPr>
            <w:tcW w:type="dxa" w:w="310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Changed item</w:t>
            </w:r>
          </w:p>
        </w:tc>
        <w:tc>
          <w:tcPr>
            <w:tcW w:type="dxa" w:w="280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Partial item ID</w:t>
            </w:r>
          </w:p>
        </w:tc>
        <w:tc>
          <w:tcPr>
            <w:tcW w:type="dxa" w:w="850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Extract group order</w:t>
            </w:r>
          </w:p>
        </w:tc>
        <w:tc>
          <w:tcPr>
            <w:tcW w:type="dxa" w:w="2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0kdhG0000003FiTQAU</w:t>
            </w:r>
          </w:p>
        </w:tc>
        <w:tc>
          <w:tcPr>
            <w:tcW w:type="dxa" w:w="85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ORDER BY SBQQ__StartDate__c ASC NULLS LAST, SBQQ__SubscriptionTerm__c DESC NULLS LAST, SBQQ__Number__c ASC</w:t>
            </w:r>
          </w:p>
        </w:tc>
      </w:tr>
      <w:tr>
        <w:trPr>
          <w:cantSplit/>
        </w:trPr>
        <w:tc>
          <w:tcPr>
            <w:tcW w:type="dxa" w:w="3100"/>
            <w:shd w:fill="F2F4F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Extract grouped line order</w:t>
            </w:r>
          </w:p>
        </w:tc>
        <w:tc>
          <w:tcPr>
            <w:tcW w:type="dxa" w:w="2800"/>
            <w:shd w:fill="F2F4F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0kdhG0000003FiUQAU</w:t>
            </w:r>
          </w:p>
        </w:tc>
        <w:tc>
          <w:tcPr>
            <w:tcW w:type="dxa" w:w="8500"/>
            <w:shd w:fill="F2F4F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ORDER BY SBQQ__Number__c ASC on grouped Quote Lines.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Extract ungrouped line order</w:t>
            </w:r>
          </w:p>
        </w:tc>
        <w:tc>
          <w:tcPr>
            <w:tcW w:type="dxa" w:w="2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0kdhG0000003FiVQAU</w:t>
            </w:r>
          </w:p>
        </w:tc>
        <w:tc>
          <w:tcPr>
            <w:tcW w:type="dxa" w:w="85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ORDER BY SBQQ__Number__c ASC on ungrouped Quote Lines.</w:t>
            </w:r>
          </w:p>
        </w:tc>
      </w:tr>
      <w:tr>
        <w:trPr>
          <w:cantSplit/>
        </w:trPr>
        <w:tc>
          <w:tcPr>
            <w:tcW w:type="dxa" w:w="3100"/>
            <w:shd w:fill="F2F4F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Extract group term mapping</w:t>
            </w:r>
          </w:p>
        </w:tc>
        <w:tc>
          <w:tcPr>
            <w:tcW w:type="dxa" w:w="2800"/>
            <w:shd w:fill="F2F4F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0kdhG0000003FiWQAU</w:t>
            </w:r>
          </w:p>
        </w:tc>
        <w:tc>
          <w:tcPr>
            <w:tcW w:type="dxa" w:w="8500"/>
            <w:shd w:fill="F2F4F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SBQuote:QuoteLineGroup:SBQQ__SubscriptionTerm__c → QuoteLineGroup:SubscriptionTerm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Transform grouped Description</w:t>
            </w:r>
          </w:p>
        </w:tc>
        <w:tc>
          <w:tcPr>
            <w:tcW w:type="dxa" w:w="2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0kdhG0000002nUTQAY</w:t>
            </w:r>
          </w:p>
        </w:tc>
        <w:tc>
          <w:tcPr>
            <w:tcW w:type="dxa" w:w="85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Update FormulaExpression. Preserve result path QuoteLineGroup:QuoteLine:LineDescriptionWithType.</w:t>
            </w:r>
          </w:p>
        </w:tc>
      </w:tr>
      <w:tr>
        <w:trPr>
          <w:cantSplit/>
        </w:trPr>
        <w:tc>
          <w:tcPr>
            <w:tcW w:type="dxa" w:w="3100"/>
            <w:shd w:fill="F2F4F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Transform ungrouped Description</w:t>
            </w:r>
          </w:p>
        </w:tc>
        <w:tc>
          <w:tcPr>
            <w:tcW w:type="dxa" w:w="2800"/>
            <w:shd w:fill="F2F4F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0kdhG0000002m5NQAQ</w:t>
            </w:r>
          </w:p>
        </w:tc>
        <w:tc>
          <w:tcPr>
            <w:tcW w:type="dxa" w:w="8500"/>
            <w:shd w:fill="F2F4F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Update FormulaExpression. Preserve existing result path UngroupedLine:LineDescriptionWIthType.</w:t>
            </w:r>
          </w:p>
        </w:tc>
      </w:tr>
    </w:tbl>
    <w:p>
      <w:pPr>
        <w:pStyle w:val="Heading2"/>
      </w:pPr>
      <w:r>
        <w:t>How to package the changes</w:t>
      </w:r>
    </w:p>
    <w:p>
      <w:pPr>
        <w:spacing w:before="0"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1. Use the two named Data Mappers and the updated DOCX as the artifact allowlist. The item-level delta is four additions and two formula updates; a whole-mapper export must preserve all unrelated items.</w:t>
      </w:r>
    </w:p>
    <w:p>
      <w:pPr>
        <w:spacing w:before="0"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2. The Partial run used scoped configuration-record changes and a new ContentVersion, not a successful Metadata API package. The recorded Metadata API retrieval did not expose these mapper/template records. Confirm the supported OmniStudio transfer mechanism in the destination before preparing an import-ready package.</w:t>
      </w:r>
    </w:p>
    <w:p>
      <w:pPr>
        <w:spacing w:before="0"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3. Resolve the target CPQ Quote Proposal template and ContentDocument, then associate the updated DOCX with that existing template. The source file is CPQ Quote Proposal - SALDEV-1403 - dry-run.docx; the verified Partial ContentVersion is listed on page 1.</w:t>
      </w:r>
    </w:p>
    <w:p>
      <w:pPr>
        <w:spacing w:before="0"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4. Refresh only the two affected Data Mapper caches if required by the target workflow. Verify the existing OmniScript remains available and invokes the expected mappers/template. This does not require a new OmniScript version.</w:t>
      </w:r>
    </w:p>
    <w:p>
      <w:pPr>
        <w:spacing w:before="0"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5. After transfer, independently compare the six item changes and proposal bytes, then run the native Extract/Transform checks and fresh document tests.</w:t>
      </w:r>
    </w:p>
    <w:p>
      <w:pPr>
        <w:pStyle w:val="Heading2"/>
      </w:pPr>
      <w:r>
        <w:t>Do not include</w:t>
      </w:r>
    </w:p>
    <w:p>
      <w:pPr>
        <w:spacing w:before="0" w:after="120" w:line="252" w:lineRule="auto"/>
      </w:pPr>
      <w:r>
        <w:rPr>
          <w:rFonts w:ascii="Calibri" w:hAnsi="Calibri"/>
          <w:b w:val="0"/>
          <w:i w:val="0"/>
          <w:color w:val="000000"/>
          <w:sz w:val="20"/>
        </w:rPr>
        <w:t>No Apex class, Apex test, LWC, Flow, custom field, permission set or Visualforce change is required for this fix. Exclude the historical CPQQuoteProposalOutputSerializer and its test utilities. SALDEV-1420 approval-email components are separate and must not be added to this package. Local scripts, validation JSON and render folders are supporting evidence, not deployable Salesforce components.</w:t>
      </w:r>
    </w:p>
    <w:p>
      <w:r>
        <w:br w:type="page"/>
      </w:r>
    </w:p>
    <w:p>
      <w:pPr>
        <w:pStyle w:val="Heading1"/>
      </w:pPr>
      <w:r>
        <w:t>Validation and business test steps</w:t>
      </w:r>
    </w:p>
    <w:p>
      <w:pPr>
        <w:spacing w:before="0" w:after="120" w:line="252" w:lineRule="auto"/>
      </w:pPr>
      <w:r>
        <w:rPr>
          <w:rFonts w:ascii="Calibri" w:hAnsi="Calibri"/>
          <w:b/>
          <w:i w:val="0"/>
          <w:color w:val="000000"/>
          <w:sz w:val="20"/>
        </w:rPr>
        <w:t>Latest recorded Partial dry run: 236 of 236 backend checks passed across eight native Extract/Transform executions and 153 eligible product rows. Configuration and proposal bytes matched the verified changes. Generated-document appearance and sequential Term numbering still require business acceptance.</w:t>
      </w:r>
    </w:p>
    <w:p>
      <w:pPr>
        <w:pStyle w:val="Heading2"/>
      </w:pPr>
      <w:r>
        <w:t>Main reproduction case</w:t>
      </w:r>
    </w:p>
    <w:p>
      <w:pPr>
        <w:spacing w:before="0"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1. Open Q-37912 in FlywirePartial: https://flywire--partial.sandbox.lightning.force.com/lightning/r/SBQQ__Quote__c/a2NhG000003lAjmUAE/view. Capture the current group dates, terms and product order in Edit Lines.</w:t>
      </w:r>
    </w:p>
    <w:p>
      <w:pPr>
        <w:spacing w:before="0"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2. Choose Generate Document or Generate Quote Document using the existing stepped-up-pricing action. Select CPQ Quote Proposal when prompted and open a fresh Preview or generated document.</w:t>
      </w:r>
    </w:p>
    <w:p>
      <w:pPr>
        <w:spacing w:before="0"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3. Expect Group4, Group1, Group2, Group3, headed Term 1: 36 Months and Terms 2, 3 and 4: 12 Months. Confirm no service dates in group headings and that numbering restarts at 1 for a second document.</w:t>
      </w:r>
    </w:p>
    <w:p>
      <w:pPr>
        <w:spacing w:before="0"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4. Compare all 78 eligible rows with QLE: correct group, product order, bundle-child placement and no duplicate/missing lines. Ship-To Account should be hidden for this quote. Capture output evidence.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000"/>
        <w:gridCol w:w="3400"/>
        <w:gridCol w:w="9000"/>
      </w:tblGrid>
      <w:tr>
        <w:trPr>
          <w:tblHeader/>
          <w:cantSplit/>
        </w:trPr>
        <w:tc>
          <w:tcPr>
            <w:tcW w:type="dxa" w:w="200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Quote</w:t>
            </w:r>
          </w:p>
        </w:tc>
        <w:tc>
          <w:tcPr>
            <w:tcW w:type="dxa" w:w="340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Regression purpose</w:t>
            </w:r>
          </w:p>
        </w:tc>
        <w:tc>
          <w:tcPr>
            <w:tcW w:type="dxa" w:w="900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Expected result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Q-37640</w:t>
            </w:r>
          </w:p>
        </w:tc>
        <w:tc>
          <w:tcPr>
            <w:tcW w:type="dxa" w:w="3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Grouped; Ship-To No</w:t>
            </w:r>
          </w:p>
        </w:tc>
        <w:tc>
          <w:tcPr>
            <w:tcW w:type="dxa" w:w="90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Three 12-month groups; 12 rows; Ship-To hidden. This is no longer an ungrouped case.</w:t>
            </w:r>
          </w:p>
        </w:tc>
      </w:tr>
      <w:tr>
        <w:trPr>
          <w:cantSplit/>
        </w:trPr>
        <w:tc>
          <w:tcPr>
            <w:tcW w:type="dxa" w:w="2000"/>
            <w:shd w:fill="F2F4F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Q-38009 / Q-38023</w:t>
            </w:r>
          </w:p>
        </w:tc>
        <w:tc>
          <w:tcPr>
            <w:tcW w:type="dxa" w:w="3400"/>
            <w:shd w:fill="F2F4F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Ungrouped new quotes</w:t>
            </w:r>
          </w:p>
        </w:tc>
        <w:tc>
          <w:tcPr>
            <w:tcW w:type="dxa" w:w="9000"/>
            <w:shd w:fill="F2F4F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9 / 2 rows; Ship-To visible / hidden respectively; no Term or Group header.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Q-38021</w:t>
            </w:r>
          </w:p>
        </w:tc>
        <w:tc>
          <w:tcPr>
            <w:tcW w:type="dxa" w:w="3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Ungrouped renewal</w:t>
            </w:r>
          </w:p>
        </w:tc>
        <w:tc>
          <w:tcPr>
            <w:tcW w:type="dxa" w:w="90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20 rows in QLE order; Ship-To hidden; Rate Details inside Description.</w:t>
            </w:r>
          </w:p>
        </w:tc>
      </w:tr>
      <w:tr>
        <w:trPr>
          <w:cantSplit/>
        </w:trPr>
        <w:tc>
          <w:tcPr>
            <w:tcW w:type="dxa" w:w="2000"/>
            <w:shd w:fill="F2F4F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Q-37723 / Q-37780</w:t>
            </w:r>
          </w:p>
        </w:tc>
        <w:tc>
          <w:tcPr>
            <w:tcW w:type="dxa" w:w="3400"/>
            <w:shd w:fill="F2F4F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Grouped structure and Ship-To</w:t>
            </w:r>
          </w:p>
        </w:tc>
        <w:tc>
          <w:tcPr>
            <w:tcW w:type="dxa" w:w="9000"/>
            <w:shd w:fill="F2F4F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14 / 18 rows; Ship-To visible / hidden. Missing group terms limit these to structure checks.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Q-38029</w:t>
            </w:r>
          </w:p>
        </w:tc>
        <w:tc>
          <w:tcPr>
            <w:tcW w:type="dxa" w:w="3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Amendment exclusion</w:t>
            </w:r>
          </w:p>
        </w:tc>
        <w:tc>
          <w:tcPr>
            <w:tcW w:type="dxa" w:w="90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Two Amendment source lines excluded; zero eligible rows. Positive amendment output requires another suitable record.</w:t>
            </w:r>
          </w:p>
        </w:tc>
      </w:tr>
    </w:tbl>
    <w:p>
      <w:pPr>
        <w:pStyle w:val="Heading2"/>
      </w:pPr>
      <w:r>
        <w:t>Acceptance and evidence</w:t>
      </w:r>
    </w:p>
    <w:p>
      <w:pPr>
        <w:spacing w:before="0" w:after="120" w:line="252" w:lineRule="auto"/>
      </w:pPr>
      <w:r>
        <w:rPr>
          <w:rFonts w:ascii="Calibri" w:hAnsi="Calibri"/>
          <w:b w:val="0"/>
          <w:i w:val="0"/>
          <w:color w:val="000000"/>
          <w:sz w:val="20"/>
        </w:rPr>
        <w:t>Verify Rate Details in Description, readable spacing, blank-value handling, preserved line-type suffixes and final table/page layout. Use records with populated group terms for full heading acceptance. Save quote ID, test date, generated filename, source QLE screenshot, output screenshot, expected/actual result and Pass/Fail/Blocked. Obtain business acceptance after these checks; backend success alone does not close the story.</w:t>
      </w:r>
    </w:p>
    <w:p>
      <w:pPr>
        <w:spacing w:before="0" w:after="120" w:line="252" w:lineRule="auto"/>
      </w:pPr>
      <w:r>
        <w:rPr>
          <w:rFonts w:ascii="Calibri" w:hAnsi="Calibri"/>
          <w:b w:val="0"/>
          <w:i w:val="0"/>
          <w:color w:val="000000"/>
          <w:sz w:val="20"/>
        </w:rPr>
        <w:t>Prepared as an updated artifact list using the supplied reference layout. No deployment was performed while preparing this document.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93" w:right="720" w:bottom="893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B7280"/>
        <w:sz w:val="16"/>
      </w:rPr>
      <w:t>SALDEV-1403 | Partial sandbox artifact inventory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52" w:lineRule="auto"/>
      <w:jc w:val="right"/>
    </w:pPr>
    <w:r>
      <w:rPr>
        <w:rFonts w:ascii="Calibri" w:hAnsi="Calibri"/>
        <w:b/>
        <w:i w:val="0"/>
        <w:color w:val="000000"/>
        <w:sz w:val="16"/>
      </w:rPr>
      <w:t>FLYWIRE | SALESFORCE CPQ / OMNISTUDIO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SALDEV 1403 Artifacts and Deployment List</dc:title>
  <dc:subject/>
  <dc:creator>Salesforce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