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i w:val="0"/>
          <w:color w:val="2E74B5"/>
          <w:sz w:val="20"/>
        </w:rPr>
        <w:t>ARCHITECT REVIEW</w:t>
      </w:r>
    </w:p>
    <w:p>
      <w:pPr>
        <w:spacing w:after="80"/>
      </w:pPr>
      <w:r>
        <w:rPr>
          <w:rFonts w:ascii="Arial" w:hAnsi="Arial"/>
          <w:b/>
          <w:i w:val="0"/>
          <w:color w:val="0B2545"/>
          <w:sz w:val="50"/>
        </w:rPr>
        <w:t xml:space="preserve">SALDEV 1371 ARR Clone Data Integrity Architect Review</w:t>
      </w:r>
    </w:p>
    <w:p>
      <w:pPr>
        <w:spacing w:after="280"/>
      </w:pPr>
      <w:r>
        <w:rPr>
          <w:rFonts w:ascii="Arial" w:hAnsi="Arial"/>
          <w:b w:val="0"/>
          <w:i w:val="0"/>
          <w:color w:val="5B6777"/>
          <w:sz w:val="26"/>
        </w:rPr>
        <w:t xml:space="preserve">FlywirePartial | Read-only non-stepped quote-line cloning best-practice review</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1"/>
        </w:trP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Source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SALDEV-1371 | FlywirePartial Enterprise sandbox 00DhG0000000jOXUAY</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 xml:space="preserve">Scope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2 QCP scripts | 7 required ARR fields | non-stepped direct line cloning</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Review date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4 September 2026</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 xml:space="preserve">Validation mode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Live script read-back | seven-field schema | JavaScript syntax</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Decision</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NO-GO - Changes Requested before story closure</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Boundary</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Read-only review; no clone execution, record save, metadata edit, or deployment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DEBEC" w:val="clear"/>
          </w:tcPr>
          <w:p>
            <w:pPr>
              <w:spacing w:after="40"/>
            </w:pPr>
            <w:r>
              <w:rPr>
                <w:rFonts w:ascii="Arial" w:hAnsi="Arial"/>
                <w:b/>
                <w:i w:val="0"/>
                <w:color w:val="C53030"/>
                <w:sz w:val="18"/>
              </w:rPr>
              <w:t>ARCHITECT DECISION</w:t>
            </w:r>
          </w:p>
          <w:p>
            <w:pPr>
              <w:spacing w:after="0" w:line="259" w:lineRule="auto"/>
            </w:pPr>
            <w:r>
              <w:rPr>
                <w:rFonts w:ascii="Arial" w:hAnsi="Arial"/>
                <w:b/>
                <w:i w:val="0"/>
                <w:color w:val="0B2545"/>
                <w:sz w:val="22"/>
              </w:rPr>
              <w:t xml:space="preserve">Changes Requested. SALDEV-1371 cannot be closed from code presence alone. Although all seven ticket field APIs exist and the null assignments are present, the clone script omits those fields from its dependency declaration and no saved quote-line read-back or SALDEV-1351 regression proves the ARR values are null outside QLE.</w:t>
            </w:r>
          </w:p>
        </w:tc>
      </w:tr>
    </w:tbl>
    <w:p>
      <w:pPr>
        <w:spacing w:after="20"/>
      </w:pPr>
    </w:p>
    <w:p>
      <w:pPr>
        <w:pStyle w:val="Heading1"/>
        <w:keepNext/>
      </w:pPr>
      <w:r>
        <w:t>Acceptance and quality outcome</w:t>
      </w:r>
    </w:p>
    <w:tbl>
      <w:tblPr>
        <w:tblStyle w:val="TableGrid"/>
        <w:tblW w:type="dxa" w:w="9360"/>
        <w:jc w:val="left"/>
        <w:tblLayout w:type="fixed"/>
        <w:tblLook w:firstColumn="1" w:firstRow="1" w:lastColumn="0" w:lastRow="0" w:noHBand="0" w:noVBand="1" w:val="04A0"/>
        <w:tblInd w:w="120" w:type="dxa"/>
      </w:tblPr>
      <w:tblGrid>
        <w:gridCol w:w="480"/>
        <w:gridCol w:w="2050"/>
        <w:gridCol w:w="1450"/>
        <w:gridCol w:w="5380"/>
      </w:tblGrid>
      <w:tr>
        <w:trPr>
          <w:tblHeader w:val="1"/>
        </w:trPr>
        <w:tc>
          <w:tcPr>
            <w:tcW w:type="dxa" w:w="48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w:t>
            </w:r>
          </w:p>
        </w:tc>
        <w:tc>
          <w:tcPr>
            <w:tcW w:type="dxa" w:w="20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Scope</w:t>
            </w:r>
          </w:p>
        </w:tc>
        <w:tc>
          <w:tcPr>
            <w:tcW w:type="dxa" w:w="14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Result</w:t>
            </w:r>
          </w:p>
        </w:tc>
        <w:tc>
          <w:tcPr>
            <w:tcW w:type="dxa" w:w="538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480"/>
          </w:tcPr>
          <w:p>
            <w:pPr>
              <w:spacing w:before="0" w:after="0" w:line="252" w:lineRule="auto"/>
              <w:jc w:val="left"/>
            </w:pPr>
            <w:r/>
            <w:r>
              <w:rPr>
                <w:rFonts w:ascii="Arial" w:hAnsi="Arial"/>
                <w:b w:val="0"/>
                <w:i w:val="0"/>
                <w:color w:val="1F2937"/>
                <w:sz w:val="18"/>
              </w:rPr>
              <w:t>1</w:t>
            </w:r>
          </w:p>
        </w:tc>
        <w:tc>
          <w:tcPr>
            <w:tcW w:type="dxa" w:w="2050"/>
          </w:tcPr>
          <w:p>
            <w:pPr>
              <w:spacing w:before="0" w:after="0" w:line="252" w:lineRule="auto"/>
              <w:jc w:val="left"/>
            </w:pPr>
            <w:r/>
            <w:r>
              <w:rPr>
                <w:rFonts w:ascii="Arial" w:hAnsi="Arial"/>
                <w:b w:val="0"/>
                <w:i w:val="0"/>
                <w:color w:val="1F2937"/>
                <w:sz w:val="18"/>
              </w:rPr>
              <w:t xml:space="preserve">Seven-field nulling logic exists</w:t>
            </w:r>
          </w:p>
        </w:tc>
        <w:tc>
          <w:tcPr>
            <w:tcW w:type="dxa" w:w="1450"/>
            <w:shd w:fill="E7F5F0" w:val="clear"/>
          </w:tcPr>
          <w:p>
            <w:pPr>
              <w:spacing w:before="0" w:after="0" w:line="252" w:lineRule="auto"/>
              <w:jc w:val="center"/>
            </w:pPr>
            <w:r>
              <w:rPr>
                <w:color w:val="0F8F74"/>
                <w:b/>
              </w:rPr>
            </w:r>
            <w:r>
              <w:rPr>
                <w:rFonts w:ascii="Arial" w:hAnsi="Arial"/>
                <w:b/>
                <w:i w:val="0"/>
                <w:color w:val="0F8F74"/>
                <w:sz w:val="19"/>
              </w:rPr>
              <w:t xml:space="preserve">IMPLEMENTED</w:t>
            </w:r>
          </w:p>
        </w:tc>
        <w:tc>
          <w:tcPr>
            <w:tcW w:type="dxa" w:w="5380"/>
          </w:tcPr>
          <w:p>
            <w:pPr>
              <w:spacing w:before="0" w:after="0" w:line="252" w:lineRule="auto"/>
              <w:jc w:val="left"/>
            </w:pPr>
            <w:r/>
            <w:r>
              <w:rPr>
                <w:rFonts w:ascii="Arial" w:hAnsi="Arial"/>
                <w:b w:val="0"/>
                <w:i w:val="0"/>
                <w:color w:val="1F2937"/>
                <w:sz w:val="18"/>
              </w:rPr>
              <w:t xml:space="preserve">The clone handler includes all seven ticket fields; JavaScript syntax passes.</w:t>
            </w:r>
          </w:p>
        </w:tc>
      </w:tr>
      <w:tr>
        <w:tc>
          <w:tcPr>
            <w:tcW w:type="dxa" w:w="480"/>
          </w:tcPr>
          <w:p>
            <w:pPr>
              <w:spacing w:before="0" w:after="0" w:line="252" w:lineRule="auto"/>
              <w:jc w:val="left"/>
            </w:pPr>
            <w:r/>
            <w:r>
              <w:rPr>
                <w:rFonts w:ascii="Arial" w:hAnsi="Arial"/>
                <w:b w:val="0"/>
                <w:i w:val="0"/>
                <w:color w:val="1F2937"/>
                <w:sz w:val="18"/>
              </w:rPr>
              <w:t>2</w:t>
            </w:r>
          </w:p>
        </w:tc>
        <w:tc>
          <w:tcPr>
            <w:tcW w:type="dxa" w:w="2050"/>
          </w:tcPr>
          <w:p>
            <w:pPr>
              <w:spacing w:before="0" w:after="0" w:line="252" w:lineRule="auto"/>
              <w:jc w:val="left"/>
            </w:pPr>
            <w:r/>
            <w:r>
              <w:rPr>
                <w:rFonts w:ascii="Arial" w:hAnsi="Arial"/>
                <w:b w:val="0"/>
                <w:i w:val="0"/>
                <w:color w:val="1F2937"/>
                <w:sz w:val="18"/>
              </w:rPr>
              <w:t xml:space="preserve">Seven ticket APIs are valid</w:t>
            </w:r>
          </w:p>
        </w:tc>
        <w:tc>
          <w:tcPr>
            <w:tcW w:type="dxa" w:w="1450"/>
            <w:shd w:fill="E7F5F0" w:val="clear"/>
          </w:tcPr>
          <w:p>
            <w:pPr>
              <w:spacing w:before="0" w:after="0" w:line="252" w:lineRule="auto"/>
              <w:jc w:val="center"/>
            </w:pPr>
            <w:r>
              <w:rPr>
                <w:color w:val="0F8F74"/>
                <w:b/>
              </w:rPr>
            </w:r>
            <w:r>
              <w:rPr>
                <w:rFonts w:ascii="Arial" w:hAnsi="Arial"/>
                <w:b/>
                <w:i w:val="0"/>
                <w:color w:val="0F8F74"/>
                <w:sz w:val="19"/>
              </w:rPr>
              <w:t xml:space="preserve">PASS</w:t>
            </w:r>
          </w:p>
        </w:tc>
        <w:tc>
          <w:tcPr>
            <w:tcW w:type="dxa" w:w="5380"/>
          </w:tcPr>
          <w:p>
            <w:pPr>
              <w:spacing w:before="0" w:after="0" w:line="252" w:lineRule="auto"/>
              <w:jc w:val="left"/>
            </w:pPr>
            <w:r/>
            <w:r>
              <w:rPr>
                <w:rFonts w:ascii="Arial" w:hAnsi="Arial"/>
                <w:b w:val="0"/>
                <w:i w:val="0"/>
                <w:color w:val="1F2937"/>
                <w:sz w:val="18"/>
              </w:rPr>
              <w:t xml:space="preserve">All seven required API names exist on SBQQ__QuoteLine__c.</w:t>
            </w:r>
          </w:p>
        </w:tc>
      </w:tr>
      <w:tr>
        <w:tc>
          <w:tcPr>
            <w:tcW w:type="dxa" w:w="480"/>
          </w:tcPr>
          <w:p>
            <w:pPr>
              <w:spacing w:before="0" w:after="0" w:line="252" w:lineRule="auto"/>
              <w:jc w:val="left"/>
            </w:pPr>
            <w:r/>
            <w:r>
              <w:rPr>
                <w:rFonts w:ascii="Arial" w:hAnsi="Arial"/>
                <w:b w:val="0"/>
                <w:i w:val="0"/>
                <w:color w:val="1F2937"/>
                <w:sz w:val="18"/>
              </w:rPr>
              <w:t>3</w:t>
            </w:r>
          </w:p>
        </w:tc>
        <w:tc>
          <w:tcPr>
            <w:tcW w:type="dxa" w:w="2050"/>
          </w:tcPr>
          <w:p>
            <w:pPr>
              <w:spacing w:before="0" w:after="0" w:line="252" w:lineRule="auto"/>
              <w:jc w:val="left"/>
            </w:pPr>
            <w:r/>
            <w:r>
              <w:rPr>
                <w:rFonts w:ascii="Arial" w:hAnsi="Arial"/>
                <w:b w:val="0"/>
                <w:i w:val="0"/>
                <w:color w:val="1F2937"/>
                <w:sz w:val="18"/>
              </w:rPr>
              <w:t xml:space="preserve">Runtime dependencies are complete</w:t>
            </w:r>
          </w:p>
        </w:tc>
        <w:tc>
          <w:tcPr>
            <w:tcW w:type="dxa" w:w="1450"/>
            <w:shd w:fill="FDEBEC" w:val="clear"/>
          </w:tcPr>
          <w:p>
            <w:pPr>
              <w:spacing w:before="0" w:after="0" w:line="252" w:lineRule="auto"/>
              <w:jc w:val="center"/>
            </w:pPr>
            <w:r>
              <w:rPr>
                <w:color w:val="C53030"/>
                <w:b/>
              </w:rPr>
            </w:r>
            <w:r>
              <w:rPr>
                <w:rFonts w:ascii="Arial" w:hAnsi="Arial"/>
                <w:b/>
                <w:i w:val="0"/>
                <w:color w:val="C53030"/>
                <w:sz w:val="19"/>
              </w:rPr>
              <w:t xml:space="preserve">FAIL</w:t>
            </w:r>
          </w:p>
        </w:tc>
        <w:tc>
          <w:tcPr>
            <w:tcW w:type="dxa" w:w="5380"/>
          </w:tcPr>
          <w:p>
            <w:pPr>
              <w:spacing w:before="0" w:after="0" w:line="252" w:lineRule="auto"/>
              <w:jc w:val="left"/>
            </w:pPr>
            <w:r/>
            <w:r>
              <w:rPr>
                <w:rFonts w:ascii="Arial" w:hAnsi="Arial"/>
                <w:b w:val="0"/>
                <w:i w:val="0"/>
                <w:color w:val="1F2937"/>
                <w:sz w:val="18"/>
              </w:rPr>
              <w:t xml:space="preserve">The clone script declares only NS ID and Opportunity Line ID, not the seven fields it writes.</w:t>
            </w:r>
          </w:p>
        </w:tc>
      </w:tr>
      <w:tr>
        <w:tc>
          <w:tcPr>
            <w:tcW w:type="dxa" w:w="480"/>
          </w:tcPr>
          <w:p>
            <w:pPr>
              <w:spacing w:before="0" w:after="0" w:line="252" w:lineRule="auto"/>
              <w:jc w:val="left"/>
            </w:pPr>
            <w:r/>
            <w:r>
              <w:rPr>
                <w:rFonts w:ascii="Arial" w:hAnsi="Arial"/>
                <w:b w:val="0"/>
                <w:i w:val="0"/>
                <w:color w:val="1F2937"/>
                <w:sz w:val="18"/>
              </w:rPr>
              <w:t>4</w:t>
            </w:r>
          </w:p>
        </w:tc>
        <w:tc>
          <w:tcPr>
            <w:tcW w:type="dxa" w:w="2050"/>
          </w:tcPr>
          <w:p>
            <w:pPr>
              <w:spacing w:before="0" w:after="0" w:line="252" w:lineRule="auto"/>
              <w:jc w:val="left"/>
            </w:pPr>
            <w:r/>
            <w:r>
              <w:rPr>
                <w:rFonts w:ascii="Arial" w:hAnsi="Arial"/>
                <w:b w:val="0"/>
                <w:i w:val="0"/>
                <w:color w:val="1F2937"/>
                <w:sz w:val="18"/>
              </w:rPr>
              <w:t xml:space="preserve">Saved clone values are null</w:t>
            </w:r>
          </w:p>
        </w:tc>
        <w:tc>
          <w:tcPr>
            <w:tcW w:type="dxa" w:w="1450"/>
            <w:shd w:fill="FFF4D6" w:val="clear"/>
          </w:tcPr>
          <w:p>
            <w:pPr>
              <w:spacing w:before="0" w:after="0" w:line="252" w:lineRule="auto"/>
              <w:jc w:val="center"/>
            </w:pPr>
            <w:r>
              <w:rPr>
                <w:color w:val="B7791F"/>
                <w:b/>
              </w:rPr>
            </w:r>
            <w:r>
              <w:rPr>
                <w:rFonts w:ascii="Arial" w:hAnsi="Arial"/>
                <w:b/>
                <w:i w:val="0"/>
                <w:color w:val="B7791F"/>
                <w:sz w:val="19"/>
              </w:rPr>
              <w:t xml:space="preserve">NOT PROVEN</w:t>
            </w:r>
          </w:p>
        </w:tc>
        <w:tc>
          <w:tcPr>
            <w:tcW w:type="dxa" w:w="5380"/>
          </w:tcPr>
          <w:p>
            <w:pPr>
              <w:spacing w:before="0" w:after="0" w:line="252" w:lineRule="auto"/>
              <w:jc w:val="left"/>
            </w:pPr>
            <w:r/>
            <w:r>
              <w:rPr>
                <w:rFonts w:ascii="Arial" w:hAnsi="Arial"/>
                <w:b w:val="0"/>
                <w:i w:val="0"/>
                <w:color w:val="1F2937"/>
                <w:sz w:val="18"/>
              </w:rPr>
              <w:t xml:space="preserve">No record-detail or SOQL read-back was performed for a cloned non-SUP line.</w:t>
            </w:r>
          </w:p>
        </w:tc>
      </w:tr>
      <w:tr>
        <w:tc>
          <w:tcPr>
            <w:tcW w:type="dxa" w:w="480"/>
          </w:tcPr>
          <w:p>
            <w:pPr>
              <w:spacing w:before="0" w:after="0" w:line="252" w:lineRule="auto"/>
              <w:jc w:val="left"/>
            </w:pPr>
            <w:r/>
            <w:r>
              <w:rPr>
                <w:rFonts w:ascii="Arial" w:hAnsi="Arial"/>
                <w:b w:val="0"/>
                <w:i w:val="0"/>
                <w:color w:val="1F2937"/>
                <w:sz w:val="18"/>
              </w:rPr>
              <w:t>5</w:t>
            </w:r>
          </w:p>
        </w:tc>
        <w:tc>
          <w:tcPr>
            <w:tcW w:type="dxa" w:w="2050"/>
          </w:tcPr>
          <w:p>
            <w:pPr>
              <w:spacing w:before="0" w:after="0" w:line="252" w:lineRule="auto"/>
              <w:jc w:val="left"/>
            </w:pPr>
            <w:r/>
            <w:r>
              <w:rPr>
                <w:rFonts w:ascii="Arial" w:hAnsi="Arial"/>
                <w:b w:val="0"/>
                <w:i w:val="0"/>
                <w:color w:val="1F2937"/>
                <w:sz w:val="18"/>
              </w:rPr>
              <w:t xml:space="preserve">Direct line clone is covered</w:t>
            </w:r>
          </w:p>
        </w:tc>
        <w:tc>
          <w:tcPr>
            <w:tcW w:type="dxa" w:w="1450"/>
            <w:shd w:fill="FDEBEC" w:val="clear"/>
          </w:tcPr>
          <w:p>
            <w:pPr>
              <w:spacing w:before="0" w:after="0" w:line="252" w:lineRule="auto"/>
              <w:jc w:val="center"/>
            </w:pPr>
            <w:r>
              <w:rPr>
                <w:color w:val="C53030"/>
                <w:b/>
              </w:rPr>
            </w:r>
            <w:r>
              <w:rPr>
                <w:rFonts w:ascii="Arial" w:hAnsi="Arial"/>
                <w:b/>
                <w:i w:val="0"/>
                <w:color w:val="C53030"/>
                <w:sz w:val="19"/>
              </w:rPr>
              <w:t xml:space="preserve">MISSING</w:t>
            </w:r>
          </w:p>
        </w:tc>
        <w:tc>
          <w:tcPr>
            <w:tcW w:type="dxa" w:w="5380"/>
          </w:tcPr>
          <w:p>
            <w:pPr>
              <w:spacing w:before="0" w:after="0" w:line="252" w:lineRule="auto"/>
              <w:jc w:val="left"/>
            </w:pPr>
            <w:r/>
            <w:r>
              <w:rPr>
                <w:rFonts w:ascii="Arial" w:hAnsi="Arial"/>
                <w:b w:val="0"/>
                <w:i w:val="0"/>
                <w:color w:val="1F2937"/>
                <w:sz w:val="18"/>
              </w:rPr>
              <w:t xml:space="preserve">No functional test proves the explicit non-stepped quote-line clone path.</w:t>
            </w:r>
          </w:p>
        </w:tc>
      </w:tr>
      <w:tr>
        <w:tc>
          <w:tcPr>
            <w:tcW w:type="dxa" w:w="480"/>
          </w:tcPr>
          <w:p>
            <w:pPr>
              <w:spacing w:before="0" w:after="0" w:line="252" w:lineRule="auto"/>
              <w:jc w:val="left"/>
            </w:pPr>
            <w:r/>
            <w:r>
              <w:rPr>
                <w:rFonts w:ascii="Arial" w:hAnsi="Arial"/>
                <w:b w:val="0"/>
                <w:i w:val="0"/>
                <w:color w:val="1F2937"/>
                <w:sz w:val="18"/>
              </w:rPr>
              <w:t>6</w:t>
            </w:r>
          </w:p>
        </w:tc>
        <w:tc>
          <w:tcPr>
            <w:tcW w:type="dxa" w:w="2050"/>
          </w:tcPr>
          <w:p>
            <w:pPr>
              <w:spacing w:before="0" w:after="0" w:line="252" w:lineRule="auto"/>
              <w:jc w:val="left"/>
            </w:pPr>
            <w:r/>
            <w:r>
              <w:rPr>
                <w:rFonts w:ascii="Arial" w:hAnsi="Arial"/>
                <w:b w:val="0"/>
                <w:i w:val="0"/>
                <w:color w:val="1F2937"/>
                <w:sz w:val="18"/>
              </w:rPr>
              <w:t xml:space="preserve">SALDEV-1351 regression passes</w:t>
            </w:r>
          </w:p>
        </w:tc>
        <w:tc>
          <w:tcPr>
            <w:tcW w:type="dxa" w:w="1450"/>
            <w:shd w:fill="FDEBEC" w:val="clear"/>
          </w:tcPr>
          <w:p>
            <w:pPr>
              <w:spacing w:before="0" w:after="0" w:line="252" w:lineRule="auto"/>
              <w:jc w:val="center"/>
            </w:pPr>
            <w:r>
              <w:rPr>
                <w:color w:val="C53030"/>
                <w:b/>
              </w:rPr>
            </w:r>
            <w:r>
              <w:rPr>
                <w:rFonts w:ascii="Arial" w:hAnsi="Arial"/>
                <w:b/>
                <w:i w:val="0"/>
                <w:color w:val="C53030"/>
                <w:sz w:val="19"/>
              </w:rPr>
              <w:t xml:space="preserve">MISSING</w:t>
            </w:r>
          </w:p>
        </w:tc>
        <w:tc>
          <w:tcPr>
            <w:tcW w:type="dxa" w:w="5380"/>
          </w:tcPr>
          <w:p>
            <w:pPr>
              <w:spacing w:before="0" w:after="0" w:line="252" w:lineRule="auto"/>
              <w:jc w:val="left"/>
            </w:pPr>
            <w:r/>
            <w:r>
              <w:rPr>
                <w:rFonts w:ascii="Arial" w:hAnsi="Arial"/>
                <w:b w:val="0"/>
                <w:i w:val="0"/>
                <w:color w:val="1F2937"/>
                <w:sz w:val="18"/>
              </w:rPr>
              <w:t xml:space="preserve">The APAC ARR Flow outcome was not re-tested after a clone save.</w:t>
            </w:r>
          </w:p>
        </w:tc>
      </w:tr>
    </w:tbl>
    <w:p>
      <w:pPr>
        <w:spacing w:after="20"/>
      </w:pPr>
    </w:p>
    <w:p>
      <w:r>
        <w:br w:type="page"/>
      </w:r>
    </w:p>
    <w:p>
      <w:pPr>
        <w:pStyle w:val="Heading1"/>
        <w:keepNext/>
      </w:pPr>
      <w:r>
        <w:t xml:space="preserve">Clone path and missing acceptance proof</w:t>
      </w:r>
    </w:p>
    <w:p>
      <w:pPr>
        <w:spacing w:after="120" w:line="264" w:lineRule="auto"/>
      </w:pPr>
      <w:r>
        <w:rPr>
          <w:rFonts w:ascii="Arial" w:hAnsi="Arial"/>
          <w:b w:val="0"/>
          <w:i w:val="0"/>
          <w:color w:val="1F2937"/>
          <w:sz w:val="22"/>
        </w:rPr>
        <w:t xml:space="preserve">SALDEV-1371 requires ARR values to be null on saved cloned quote-line records for non-stepped quoting. Hiding fields in QLE is not acceptance evidence; database read-back and the SALDEV-1351 regression outcome are required.</w:t>
      </w:r>
    </w:p>
    <w:p>
      <w:pPr>
        <w:keepNext/>
        <w:jc w:val="center"/>
      </w:pPr>
      <w:r>
        <w:drawing>
          <wp:inline xmlns:a="http://schemas.openxmlformats.org/drawingml/2006/main" xmlns:pic="http://schemas.openxmlformats.org/drawingml/2006/picture">
            <wp:extent cx="5897880" cy="3759898"/>
            <wp:docPr id="1" name="Picture 1" title="SALDEV-1371 clone path and evidence gap" descr="Diagram showing the seven-field story intent, clone handler, broader scope-control concern, and missing saved-record acceptance proof."/>
            <wp:cNvGraphicFramePr>
              <a:graphicFrameLocks noChangeAspect="1"/>
            </wp:cNvGraphicFramePr>
            <a:graphic>
              <a:graphicData uri="http://schemas.openxmlformats.org/drawingml/2006/picture">
                <pic:pic>
                  <pic:nvPicPr>
                    <pic:cNvPr id="0" name="scc3385-deployment-validation-path.png"/>
                    <pic:cNvPicPr/>
                  </pic:nvPicPr>
                  <pic:blipFill>
                    <a:blip r:embed="rId17"/>
                    <a:stretch>
                      <a:fillRect/>
                    </a:stretch>
                  </pic:blipFill>
                  <pic:spPr>
                    <a:xfrm>
                      <a:off x="0" y="0"/>
                      <a:ext cx="5897880" cy="3759898"/>
                    </a:xfrm>
                    <a:prstGeom prst="rect"/>
                  </pic:spPr>
                </pic:pic>
              </a:graphicData>
            </a:graphic>
          </wp:inline>
        </w:drawing>
      </w:r>
    </w:p>
    <w:p>
      <w:pPr>
        <w:keepNext/>
        <w:spacing w:before="40" w:after="160"/>
        <w:jc w:val="center"/>
      </w:pPr>
      <w:r>
        <w:rPr>
          <w:rFonts w:ascii="Arial" w:hAnsi="Arial"/>
          <w:b w:val="0"/>
          <w:i/>
          <w:color w:val="5B6777"/>
          <w:sz w:val="18"/>
        </w:rPr>
        <w:t xml:space="preserve">Figure 1. SALDEV-1371 clone path and evidence gap</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2FA"/>
          </w:tcPr>
          <w:p>
            <w:pPr>
              <w:spacing w:after="40"/>
            </w:pPr>
            <w:r>
              <w:rPr>
                <w:rFonts w:ascii="Arial" w:hAnsi="Arial"/>
                <w:b/>
                <w:i w:val="0"/>
                <w:color w:val="2E74B5"/>
                <w:sz w:val="18"/>
              </w:rPr>
              <w:t>DESIGN READING</w:t>
            </w:r>
          </w:p>
          <w:p>
            <w:pPr>
              <w:spacing w:after="0" w:line="259" w:lineRule="auto"/>
            </w:pPr>
            <w:r>
              <w:rPr>
                <w:rFonts w:ascii="Arial" w:hAnsi="Arial"/>
                <w:b/>
                <w:i w:val="0"/>
                <w:color w:val="0B2545"/>
                <w:sz w:val="22"/>
              </w:rPr>
              <w:t xml:space="preserve">Blue shows the non-stepped clone acceptance path. Green shows code characteristics worth retaining. Amber marks incomplete evidence. Red identifies schema or proof defects that block story closure.</w:t>
            </w:r>
          </w:p>
        </w:tc>
      </w:tr>
    </w:tbl>
    <w:p>
      <w:pPr>
        <w:spacing w:after="20"/>
      </w:pPr>
    </w:p>
    <w:p>
      <w:r>
        <w:br w:type="page"/>
      </w:r>
    </w:p>
    <w:p>
      <w:pPr>
        <w:pStyle w:val="Heading1"/>
        <w:keepNext/>
      </w:pPr>
      <w:r>
        <w:t xml:space="preserve">Detailed code and validation evidence</w:t>
      </w:r>
    </w:p>
    <w:p>
      <w:pPr>
        <w:pStyle w:val="Heading2"/>
        <w:keepNext/>
      </w:pPr>
      <w:r>
        <w:t xml:space="preserve">1. Story and live runtime evidence</w:t>
      </w:r>
    </w:p>
    <w:tbl>
      <w:tblPr>
        <w:tblStyle w:val="TableGrid"/>
        <w:tblW w:type="dxa" w:w="9360"/>
        <w:jc w:val="left"/>
        <w:tblLayout w:type="fixed"/>
        <w:tblLook w:firstColumn="1" w:firstRow="1" w:lastColumn="0" w:lastRow="0" w:noHBand="0" w:noVBand="1" w:val="04A0"/>
        <w:tblInd w:w="120" w:type="dxa"/>
      </w:tblPr>
      <w:tblGrid>
        <w:gridCol w:w="1750"/>
        <w:gridCol w:w="2350"/>
        <w:gridCol w:w="5260"/>
      </w:tblGrid>
      <w:tr>
        <w:trPr>
          <w:tblHeader w:val="1"/>
        </w:trPr>
        <w:tc>
          <w:tcPr>
            <w:tcW w:type="dxa" w:w="17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Evidence area</w:t>
            </w:r>
          </w:p>
        </w:tc>
        <w:tc>
          <w:tcPr>
            <w:tcW w:type="dxa" w:w="23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Observed result</w:t>
            </w:r>
          </w:p>
        </w:tc>
        <w:tc>
          <w:tcPr>
            <w:tcW w:type="dxa" w:w="52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Evidence</w:t>
            </w:r>
          </w:p>
        </w:tc>
      </w:tr>
      <w:tr>
        <w:tc>
          <w:tcPr>
            <w:tcW w:type="dxa" w:w="1750"/>
          </w:tcPr>
          <w:p>
            <w:pPr>
              <w:spacing w:before="0" w:after="0" w:line="252" w:lineRule="auto"/>
              <w:jc w:val="left"/>
            </w:pPr>
            <w:r/>
            <w:r>
              <w:rPr>
                <w:rFonts w:ascii="Arial" w:hAnsi="Arial"/>
                <w:b w:val="0"/>
                <w:i w:val="0"/>
                <w:color w:val="1F2937"/>
                <w:sz w:val="18"/>
              </w:rPr>
              <w:t xml:space="preserve">Story status</w:t>
            </w:r>
          </w:p>
        </w:tc>
        <w:tc>
          <w:tcPr>
            <w:tcW w:type="dxa" w:w="2350"/>
          </w:tcPr>
          <w:p>
            <w:pPr>
              <w:spacing w:before="0" w:after="0" w:line="252" w:lineRule="auto"/>
              <w:jc w:val="left"/>
            </w:pPr>
            <w:r/>
            <w:r>
              <w:rPr>
                <w:rFonts w:ascii="Arial" w:hAnsi="Arial"/>
                <w:b w:val="0"/>
                <w:i w:val="0"/>
                <w:color w:val="1F2937"/>
                <w:sz w:val="18"/>
              </w:rPr>
              <w:t xml:space="preserve">Duplicate</w:t>
            </w:r>
          </w:p>
        </w:tc>
        <w:tc>
          <w:tcPr>
            <w:tcW w:type="dxa" w:w="5260"/>
          </w:tcPr>
          <w:p>
            <w:pPr>
              <w:spacing w:before="0" w:after="0" w:line="252" w:lineRule="auto"/>
              <w:jc w:val="left"/>
            </w:pPr>
            <w:r/>
            <w:r>
              <w:rPr>
                <w:rFonts w:ascii="Arial" w:hAnsi="Arial"/>
                <w:b w:val="0"/>
                <w:i w:val="0"/>
                <w:color w:val="1F2937"/>
                <w:sz w:val="18"/>
              </w:rPr>
              <w:t xml:space="preserve">SALDEV-1371 states the requirement is handled with SALDEV-1427.</w:t>
            </w:r>
          </w:p>
        </w:tc>
      </w:tr>
      <w:tr>
        <w:tc>
          <w:tcPr>
            <w:tcW w:type="dxa" w:w="1750"/>
          </w:tcPr>
          <w:p>
            <w:pPr>
              <w:spacing w:before="0" w:after="0" w:line="252" w:lineRule="auto"/>
              <w:jc w:val="left"/>
            </w:pPr>
            <w:r/>
            <w:r>
              <w:rPr>
                <w:rFonts w:ascii="Arial" w:hAnsi="Arial"/>
                <w:b w:val="0"/>
                <w:i w:val="0"/>
                <w:color w:val="1F2937"/>
                <w:sz w:val="18"/>
              </w:rPr>
              <w:t xml:space="preserve">Target org</w:t>
            </w:r>
          </w:p>
        </w:tc>
        <w:tc>
          <w:tcPr>
            <w:tcW w:type="dxa" w:w="2350"/>
          </w:tcPr>
          <w:p>
            <w:pPr>
              <w:spacing w:before="0" w:after="0" w:line="252" w:lineRule="auto"/>
              <w:jc w:val="left"/>
            </w:pPr>
            <w:r/>
            <w:r>
              <w:rPr>
                <w:rFonts w:ascii="Arial" w:hAnsi="Arial"/>
                <w:b w:val="0"/>
                <w:i w:val="0"/>
                <w:color w:val="1F2937"/>
                <w:sz w:val="18"/>
              </w:rPr>
              <w:t xml:space="preserve">Verified sandbox</w:t>
            </w:r>
          </w:p>
        </w:tc>
        <w:tc>
          <w:tcPr>
            <w:tcW w:type="dxa" w:w="5260"/>
          </w:tcPr>
          <w:p>
            <w:pPr>
              <w:spacing w:before="0" w:after="0" w:line="252" w:lineRule="auto"/>
              <w:jc w:val="left"/>
            </w:pPr>
            <w:r/>
            <w:r>
              <w:rPr>
                <w:rFonts w:ascii="Arial" w:hAnsi="Arial"/>
                <w:b w:val="0"/>
                <w:i w:val="0"/>
                <w:color w:val="1F2937"/>
                <w:sz w:val="18"/>
              </w:rPr>
              <w:t xml:space="preserve">FlywirePartial is org 00DhG0000000jOXUAY; Enterprise Edition; IsSandbox=true.</w:t>
            </w:r>
          </w:p>
        </w:tc>
      </w:tr>
      <w:tr>
        <w:tc>
          <w:tcPr>
            <w:tcW w:type="dxa" w:w="1750"/>
          </w:tcPr>
          <w:p>
            <w:pPr>
              <w:spacing w:before="0" w:after="0" w:line="252" w:lineRule="auto"/>
              <w:jc w:val="left"/>
            </w:pPr>
            <w:r/>
            <w:r>
              <w:rPr>
                <w:rFonts w:ascii="Arial" w:hAnsi="Arial"/>
                <w:b w:val="0"/>
                <w:i w:val="0"/>
                <w:color w:val="1F2937"/>
                <w:sz w:val="18"/>
              </w:rPr>
              <w:t xml:space="preserve">QLE_CloneLineHandler</w:t>
            </w:r>
          </w:p>
        </w:tc>
        <w:tc>
          <w:tcPr>
            <w:tcW w:type="dxa" w:w="2350"/>
          </w:tcPr>
          <w:p>
            <w:pPr>
              <w:spacing w:before="0" w:after="0" w:line="252" w:lineRule="auto"/>
              <w:jc w:val="left"/>
            </w:pPr>
            <w:r/>
            <w:r>
              <w:rPr>
                <w:rFonts w:ascii="Arial" w:hAnsi="Arial"/>
                <w:b w:val="0"/>
                <w:i w:val="0"/>
                <w:color w:val="1F2937"/>
                <w:sz w:val="18"/>
              </w:rPr>
              <w:t xml:space="preserve">Runtime present</w:t>
            </w:r>
          </w:p>
        </w:tc>
        <w:tc>
          <w:tcPr>
            <w:tcW w:type="dxa" w:w="5260"/>
          </w:tcPr>
          <w:p>
            <w:pPr>
              <w:spacing w:before="0" w:after="0" w:line="252" w:lineRule="auto"/>
              <w:jc w:val="left"/>
            </w:pPr>
            <w:r/>
            <w:r>
              <w:rPr>
                <w:rFonts w:ascii="Arial" w:hAnsi="Arial"/>
                <w:b w:val="0"/>
                <w:i w:val="0"/>
                <w:color w:val="1F2937"/>
                <w:sz w:val="18"/>
              </w:rPr>
              <w:t xml:space="preserve">58 JavaScript lines; all seven ticket fields appear; syntax check passed.</w:t>
            </w:r>
          </w:p>
        </w:tc>
      </w:tr>
      <w:tr>
        <w:tc>
          <w:tcPr>
            <w:tcW w:type="dxa" w:w="1750"/>
          </w:tcPr>
          <w:p>
            <w:pPr>
              <w:spacing w:before="0" w:after="0" w:line="252" w:lineRule="auto"/>
              <w:jc w:val="left"/>
            </w:pPr>
            <w:r/>
            <w:r>
              <w:rPr>
                <w:rFonts w:ascii="Arial" w:hAnsi="Arial"/>
                <w:b w:val="0"/>
                <w:i w:val="0"/>
                <w:color w:val="1F2937"/>
                <w:sz w:val="18"/>
              </w:rPr>
              <w:t xml:space="preserve">QCP_HideFieldInQLE</w:t>
            </w:r>
          </w:p>
        </w:tc>
        <w:tc>
          <w:tcPr>
            <w:tcW w:type="dxa" w:w="2350"/>
          </w:tcPr>
          <w:p>
            <w:pPr>
              <w:spacing w:before="0" w:after="0" w:line="252" w:lineRule="auto"/>
              <w:jc w:val="left"/>
            </w:pPr>
            <w:r/>
            <w:r>
              <w:rPr>
                <w:rFonts w:ascii="Arial" w:hAnsi="Arial"/>
                <w:b w:val="0"/>
                <w:i w:val="0"/>
                <w:color w:val="1F2937"/>
                <w:sz w:val="18"/>
              </w:rPr>
              <w:t xml:space="preserve">Related runtime</w:t>
            </w:r>
          </w:p>
        </w:tc>
        <w:tc>
          <w:tcPr>
            <w:tcW w:type="dxa" w:w="5260"/>
          </w:tcPr>
          <w:p>
            <w:pPr>
              <w:spacing w:before="0" w:after="0" w:line="252" w:lineRule="auto"/>
              <w:jc w:val="left"/>
            </w:pPr>
            <w:r/>
            <w:r>
              <w:rPr>
                <w:rFonts w:ascii="Arial" w:hAnsi="Arial"/>
                <w:b w:val="0"/>
                <w:i w:val="0"/>
                <w:color w:val="1F2937"/>
                <w:sz w:val="18"/>
              </w:rPr>
              <w:t xml:space="preserve">The before-calculate path repeats a broader ARR list; syntax check passed.</w:t>
            </w:r>
          </w:p>
        </w:tc>
      </w:tr>
      <w:tr>
        <w:tc>
          <w:tcPr>
            <w:tcW w:type="dxa" w:w="1750"/>
          </w:tcPr>
          <w:p>
            <w:pPr>
              <w:spacing w:before="0" w:after="0" w:line="252" w:lineRule="auto"/>
              <w:jc w:val="left"/>
            </w:pPr>
            <w:r/>
            <w:r>
              <w:rPr>
                <w:rFonts w:ascii="Arial" w:hAnsi="Arial"/>
                <w:b w:val="0"/>
                <w:i w:val="0"/>
                <w:color w:val="1F2937"/>
                <w:sz w:val="18"/>
              </w:rPr>
              <w:t xml:space="preserve">Field read-back</w:t>
            </w:r>
          </w:p>
        </w:tc>
        <w:tc>
          <w:tcPr>
            <w:tcW w:type="dxa" w:w="2350"/>
          </w:tcPr>
          <w:p>
            <w:pPr>
              <w:spacing w:before="0" w:after="0" w:line="252" w:lineRule="auto"/>
              <w:jc w:val="left"/>
            </w:pPr>
            <w:r/>
            <w:r>
              <w:rPr>
                <w:rFonts w:ascii="Arial" w:hAnsi="Arial"/>
                <w:b w:val="0"/>
                <w:i w:val="0"/>
                <w:color w:val="1F2937"/>
                <w:sz w:val="18"/>
              </w:rPr>
              <w:t xml:space="preserve">7 of 7 found</w:t>
            </w:r>
          </w:p>
        </w:tc>
        <w:tc>
          <w:tcPr>
            <w:tcW w:type="dxa" w:w="5260"/>
          </w:tcPr>
          <w:p>
            <w:pPr>
              <w:spacing w:before="0" w:after="0" w:line="252" w:lineRule="auto"/>
              <w:jc w:val="left"/>
            </w:pPr>
            <w:r/>
            <w:r>
              <w:rPr>
                <w:rFonts w:ascii="Arial" w:hAnsi="Arial"/>
                <w:b w:val="0"/>
                <w:i w:val="0"/>
                <w:color w:val="1F2937"/>
                <w:sz w:val="18"/>
              </w:rPr>
              <w:t xml:space="preserve">Est_Annual_MM__c; Estimated_Volume__c; Annual_Number_of_Domestic_Transactions__c; Annual_Total_CC_Volume__c; Annual_No_Surcharge_Transactions__c; Annual_Total_Surcharge_Volume__c; Utilization__c.</w:t>
            </w:r>
          </w:p>
        </w:tc>
      </w:tr>
    </w:tbl>
    <w:p>
      <w:pPr>
        <w:spacing w:after="20"/>
      </w:pPr>
    </w:p>
    <w:p>
      <w:pPr>
        <w:pStyle w:val="Heading2"/>
        <w:keepNext/>
      </w:pPr>
      <w:r>
        <w:t xml:space="preserve">2. Best-practice findings</w:t>
      </w:r>
    </w:p>
    <w:tbl>
      <w:tblPr>
        <w:tblStyle w:val="TableGrid"/>
        <w:tblW w:type="dxa" w:w="9360"/>
        <w:jc w:val="left"/>
        <w:tblLayout w:type="fixed"/>
        <w:tblLook w:firstColumn="1" w:firstRow="1" w:lastColumn="0" w:lastRow="0" w:noHBand="0" w:noVBand="1" w:val="04A0"/>
        <w:tblInd w:w="120" w:type="dxa"/>
      </w:tblPr>
      <w:tblGrid>
        <w:gridCol w:w="2450"/>
        <w:gridCol w:w="1600"/>
        <w:gridCol w:w="5310"/>
      </w:tblGrid>
      <w:tr>
        <w:trPr>
          <w:tblHeader w:val="1"/>
        </w:trPr>
        <w:tc>
          <w:tcPr>
            <w:tcW w:type="dxa" w:w="24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Finding</w:t>
            </w:r>
          </w:p>
        </w:tc>
        <w:tc>
          <w:tcPr>
            <w:tcW w:type="dxa" w:w="16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Severity</w:t>
            </w:r>
          </w:p>
        </w:tc>
        <w:tc>
          <w:tcPr>
            <w:tcW w:type="dxa" w:w="531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Evidence</w:t>
            </w:r>
          </w:p>
        </w:tc>
      </w:tr>
      <w:tr>
        <w:tc>
          <w:tcPr>
            <w:tcW w:type="dxa" w:w="2450"/>
          </w:tcPr>
          <w:p>
            <w:pPr>
              <w:spacing w:before="0" w:after="0" w:line="252" w:lineRule="auto"/>
              <w:jc w:val="left"/>
            </w:pPr>
            <w:r/>
            <w:r>
              <w:rPr>
                <w:rFonts w:ascii="Arial" w:hAnsi="Arial"/>
                <w:b w:val="0"/>
                <w:i w:val="0"/>
                <w:color w:val="1F2937"/>
                <w:sz w:val="18"/>
              </w:rPr>
              <w:t xml:space="preserve">Dependency contract</w:t>
            </w:r>
          </w:p>
        </w:tc>
        <w:tc>
          <w:tcPr>
            <w:tcW w:type="dxa" w:w="1600"/>
            <w:shd w:fill="FDEBEC" w:val="clear"/>
          </w:tcPr>
          <w:p>
            <w:pPr>
              <w:spacing w:before="0" w:after="0" w:line="252" w:lineRule="auto"/>
              <w:jc w:val="center"/>
            </w:pPr>
            <w:r>
              <w:rPr>
                <w:color w:val="C53030"/>
                <w:b/>
              </w:rPr>
            </w:r>
            <w:r>
              <w:rPr>
                <w:rFonts w:ascii="Arial" w:hAnsi="Arial"/>
                <w:b/>
                <w:i w:val="0"/>
                <w:color w:val="C53030"/>
                <w:sz w:val="19"/>
              </w:rPr>
              <w:t xml:space="preserve">BLOCKER</w:t>
            </w:r>
          </w:p>
        </w:tc>
        <w:tc>
          <w:tcPr>
            <w:tcW w:type="dxa" w:w="5310"/>
          </w:tcPr>
          <w:p>
            <w:pPr>
              <w:spacing w:before="0" w:after="0" w:line="252" w:lineRule="auto"/>
              <w:jc w:val="left"/>
            </w:pPr>
            <w:r/>
            <w:r>
              <w:rPr>
                <w:rFonts w:ascii="Arial" w:hAnsi="Arial"/>
                <w:b w:val="0"/>
                <w:i w:val="0"/>
                <w:color w:val="1F2937"/>
                <w:sz w:val="18"/>
              </w:rPr>
              <w:t xml:space="preserve">The seven fields written by the clone handler are absent from SBQQ__QuoteLineFields__c.</w:t>
            </w:r>
          </w:p>
        </w:tc>
      </w:tr>
      <w:tr>
        <w:tc>
          <w:tcPr>
            <w:tcW w:type="dxa" w:w="2450"/>
          </w:tcPr>
          <w:p>
            <w:pPr>
              <w:spacing w:before="0" w:after="0" w:line="252" w:lineRule="auto"/>
              <w:jc w:val="left"/>
            </w:pPr>
            <w:r/>
            <w:r>
              <w:rPr>
                <w:rFonts w:ascii="Arial" w:hAnsi="Arial"/>
                <w:b w:val="0"/>
                <w:i w:val="0"/>
                <w:color w:val="1F2937"/>
                <w:sz w:val="18"/>
              </w:rPr>
              <w:t xml:space="preserve">Scope control</w:t>
            </w:r>
          </w:p>
        </w:tc>
        <w:tc>
          <w:tcPr>
            <w:tcW w:type="dxa" w:w="1600"/>
            <w:shd w:fill="FDEBEC" w:val="clear"/>
          </w:tcPr>
          <w:p>
            <w:pPr>
              <w:spacing w:before="0" w:after="0" w:line="252" w:lineRule="auto"/>
              <w:jc w:val="center"/>
            </w:pPr>
            <w:r>
              <w:rPr>
                <w:color w:val="C53030"/>
                <w:b/>
              </w:rPr>
            </w:r>
            <w:r>
              <w:rPr>
                <w:rFonts w:ascii="Arial" w:hAnsi="Arial"/>
                <w:b/>
                <w:i w:val="0"/>
                <w:color w:val="C53030"/>
                <w:sz w:val="19"/>
              </w:rPr>
              <w:t xml:space="preserve">HIGH</w:t>
            </w:r>
          </w:p>
        </w:tc>
        <w:tc>
          <w:tcPr>
            <w:tcW w:type="dxa" w:w="5310"/>
          </w:tcPr>
          <w:p>
            <w:pPr>
              <w:spacing w:before="0" w:after="0" w:line="252" w:lineRule="auto"/>
              <w:jc w:val="left"/>
            </w:pPr>
            <w:r/>
            <w:r>
              <w:rPr>
                <w:rFonts w:ascii="Arial" w:hAnsi="Arial"/>
                <w:b w:val="0"/>
                <w:i w:val="0"/>
                <w:color w:val="1F2937"/>
                <w:sz w:val="18"/>
              </w:rPr>
              <w:t xml:space="preserve">The implementation clears a broader 25-field set; approval for that expansion is not evidenced by SALDEV-1371.</w:t>
            </w:r>
          </w:p>
        </w:tc>
      </w:tr>
      <w:tr>
        <w:tc>
          <w:tcPr>
            <w:tcW w:type="dxa" w:w="2450"/>
          </w:tcPr>
          <w:p>
            <w:pPr>
              <w:spacing w:before="0" w:after="0" w:line="252" w:lineRule="auto"/>
              <w:jc w:val="left"/>
            </w:pPr>
            <w:r/>
            <w:r>
              <w:rPr>
                <w:rFonts w:ascii="Arial" w:hAnsi="Arial"/>
                <w:b w:val="0"/>
                <w:i w:val="0"/>
                <w:color w:val="1F2937"/>
                <w:sz w:val="18"/>
              </w:rPr>
              <w:t xml:space="preserve">Maintainability</w:t>
            </w:r>
          </w:p>
        </w:tc>
        <w:tc>
          <w:tcPr>
            <w:tcW w:type="dxa" w:w="1600"/>
            <w:shd w:fill="FDEBEC" w:val="clear"/>
          </w:tcPr>
          <w:p>
            <w:pPr>
              <w:spacing w:before="0" w:after="0" w:line="252" w:lineRule="auto"/>
              <w:jc w:val="center"/>
            </w:pPr>
            <w:r>
              <w:rPr>
                <w:color w:val="C53030"/>
                <w:b/>
              </w:rPr>
            </w:r>
            <w:r>
              <w:rPr>
                <w:rFonts w:ascii="Arial" w:hAnsi="Arial"/>
                <w:b/>
                <w:i w:val="0"/>
                <w:color w:val="C53030"/>
                <w:sz w:val="19"/>
              </w:rPr>
              <w:t xml:space="preserve">HIGH</w:t>
            </w:r>
          </w:p>
        </w:tc>
        <w:tc>
          <w:tcPr>
            <w:tcW w:type="dxa" w:w="5310"/>
          </w:tcPr>
          <w:p>
            <w:pPr>
              <w:spacing w:before="0" w:after="0" w:line="252" w:lineRule="auto"/>
              <w:jc w:val="left"/>
            </w:pPr>
            <w:r/>
            <w:r>
              <w:rPr>
                <w:rFonts w:ascii="Arial" w:hAnsi="Arial"/>
                <w:b w:val="0"/>
                <w:i w:val="0"/>
                <w:color w:val="1F2937"/>
                <w:sz w:val="18"/>
              </w:rPr>
              <w:t xml:space="preserve">The broader ARR list is duplicated across scripts, creating drift and execution-order risk.</w:t>
            </w:r>
          </w:p>
        </w:tc>
      </w:tr>
    </w:tbl>
    <w:p>
      <w:pPr>
        <w:spacing w:after="20"/>
      </w:pPr>
    </w:p>
    <w:p>
      <w:pPr>
        <w:pStyle w:val="Heading2"/>
        <w:keepNext/>
      </w:pPr>
      <w:r>
        <w:t xml:space="preserve">3. Acceptance evidence and boundaries</w:t>
      </w:r>
    </w:p>
    <w:tbl>
      <w:tblPr>
        <w:tblStyle w:val="TableGrid"/>
        <w:tblW w:type="dxa" w:w="9360"/>
        <w:jc w:val="left"/>
        <w:tblLayout w:type="fixed"/>
        <w:tblLook w:firstColumn="1" w:firstRow="1" w:lastColumn="0" w:lastRow="0" w:noHBand="0" w:noVBand="1" w:val="04A0"/>
        <w:tblInd w:w="120" w:type="dxa"/>
      </w:tblPr>
      <w:tblGrid>
        <w:gridCol w:w="2200"/>
        <w:gridCol w:w="1900"/>
        <w:gridCol w:w="5260"/>
      </w:tblGrid>
      <w:tr>
        <w:trPr>
          <w:tblHeader w:val="1"/>
        </w:trPr>
        <w:tc>
          <w:tcPr>
            <w:tcW w:type="dxa" w:w="22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Test / boundary</w:t>
            </w:r>
          </w:p>
        </w:tc>
        <w:tc>
          <w:tcPr>
            <w:tcW w:type="dxa" w:w="19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Status</w:t>
            </w:r>
          </w:p>
        </w:tc>
        <w:tc>
          <w:tcPr>
            <w:tcW w:type="dxa" w:w="52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Evidence</w:t>
            </w:r>
          </w:p>
        </w:tc>
      </w:tr>
      <w:tr>
        <w:tc>
          <w:tcPr>
            <w:tcW w:type="dxa" w:w="2200"/>
          </w:tcPr>
          <w:p>
            <w:pPr>
              <w:spacing w:before="0" w:after="0" w:line="252" w:lineRule="auto"/>
              <w:jc w:val="left"/>
            </w:pPr>
            <w:r/>
            <w:r>
              <w:rPr>
                <w:rFonts w:ascii="Arial" w:hAnsi="Arial"/>
                <w:b w:val="0"/>
                <w:i w:val="0"/>
                <w:color w:val="1F2937"/>
                <w:sz w:val="18"/>
              </w:rPr>
              <w:t xml:space="preserve">JavaScript syntax</w:t>
            </w:r>
          </w:p>
        </w:tc>
        <w:tc>
          <w:tcPr>
            <w:tcW w:type="dxa" w:w="1900"/>
            <w:shd w:fill="E7F5F0" w:val="clear"/>
          </w:tcPr>
          <w:p>
            <w:pPr>
              <w:spacing w:before="0" w:after="0" w:line="252" w:lineRule="auto"/>
              <w:jc w:val="center"/>
            </w:pPr>
            <w:r>
              <w:rPr>
                <w:color w:val="0F8F74"/>
                <w:b/>
              </w:rPr>
            </w:r>
            <w:r>
              <w:rPr>
                <w:rFonts w:ascii="Arial" w:hAnsi="Arial"/>
                <w:b/>
                <w:i w:val="0"/>
                <w:color w:val="0F8F74"/>
                <w:sz w:val="19"/>
              </w:rPr>
              <w:t xml:space="preserve">PASS</w:t>
            </w:r>
          </w:p>
        </w:tc>
        <w:tc>
          <w:tcPr>
            <w:tcW w:type="dxa" w:w="5260"/>
          </w:tcPr>
          <w:p>
            <w:pPr>
              <w:spacing w:before="0" w:after="0" w:line="252" w:lineRule="auto"/>
              <w:jc w:val="left"/>
            </w:pPr>
            <w:r/>
            <w:r>
              <w:rPr>
                <w:rFonts w:ascii="Arial" w:hAnsi="Arial"/>
                <w:b w:val="0"/>
                <w:i w:val="0"/>
                <w:color w:val="1F2937"/>
                <w:sz w:val="18"/>
              </w:rPr>
              <w:t xml:space="preserve">Both live scripts parse successfully with Node syntax checks.</w:t>
            </w:r>
          </w:p>
        </w:tc>
      </w:tr>
      <w:tr>
        <w:tc>
          <w:tcPr>
            <w:tcW w:type="dxa" w:w="2200"/>
          </w:tcPr>
          <w:p>
            <w:pPr>
              <w:spacing w:before="0" w:after="0" w:line="252" w:lineRule="auto"/>
              <w:jc w:val="left"/>
            </w:pPr>
            <w:r/>
            <w:r>
              <w:rPr>
                <w:rFonts w:ascii="Arial" w:hAnsi="Arial"/>
                <w:b w:val="0"/>
                <w:i w:val="0"/>
                <w:color w:val="1F2937"/>
                <w:sz w:val="18"/>
              </w:rPr>
              <w:t xml:space="preserve">Seven-field schema</w:t>
            </w:r>
          </w:p>
        </w:tc>
        <w:tc>
          <w:tcPr>
            <w:tcW w:type="dxa" w:w="1900"/>
            <w:shd w:fill="E7F5F0" w:val="clear"/>
          </w:tcPr>
          <w:p>
            <w:pPr>
              <w:spacing w:before="0" w:after="0" w:line="252" w:lineRule="auto"/>
              <w:jc w:val="center"/>
            </w:pPr>
            <w:r>
              <w:rPr>
                <w:color w:val="0F8F74"/>
                <w:b/>
              </w:rPr>
            </w:r>
            <w:r>
              <w:rPr>
                <w:rFonts w:ascii="Arial" w:hAnsi="Arial"/>
                <w:b/>
                <w:i w:val="0"/>
                <w:color w:val="0F8F74"/>
                <w:sz w:val="19"/>
              </w:rPr>
              <w:t xml:space="preserve">PASS</w:t>
            </w:r>
          </w:p>
        </w:tc>
        <w:tc>
          <w:tcPr>
            <w:tcW w:type="dxa" w:w="5260"/>
          </w:tcPr>
          <w:p>
            <w:pPr>
              <w:spacing w:before="0" w:after="0" w:line="252" w:lineRule="auto"/>
              <w:jc w:val="left"/>
            </w:pPr>
            <w:r/>
            <w:r>
              <w:rPr>
                <w:rFonts w:ascii="Arial" w:hAnsi="Arial"/>
                <w:b w:val="0"/>
                <w:i w:val="0"/>
                <w:color w:val="1F2937"/>
                <w:sz w:val="18"/>
              </w:rPr>
              <w:t xml:space="preserve">All seven API names in SALDEV-1371 were found in the live quote-line schema.</w:t>
            </w:r>
          </w:p>
        </w:tc>
      </w:tr>
      <w:tr>
        <w:tc>
          <w:tcPr>
            <w:tcW w:type="dxa" w:w="2200"/>
          </w:tcPr>
          <w:p>
            <w:pPr>
              <w:spacing w:before="0" w:after="0" w:line="252" w:lineRule="auto"/>
              <w:jc w:val="left"/>
            </w:pPr>
            <w:r/>
            <w:r>
              <w:rPr>
                <w:rFonts w:ascii="Arial" w:hAnsi="Arial"/>
                <w:b w:val="0"/>
                <w:i w:val="0"/>
                <w:color w:val="1F2937"/>
                <w:sz w:val="18"/>
              </w:rPr>
              <w:t xml:space="preserve">Delivery evidence boundary</w:t>
            </w:r>
          </w:p>
        </w:tc>
        <w:tc>
          <w:tcPr>
            <w:tcW w:type="dxa" w:w="1900"/>
            <w:shd w:fill="FFF4D6" w:val="clear"/>
          </w:tcPr>
          <w:p>
            <w:pPr>
              <w:spacing w:before="0" w:after="0" w:line="252" w:lineRule="auto"/>
              <w:jc w:val="center"/>
            </w:pPr>
            <w:r>
              <w:rPr>
                <w:color w:val="B7791F"/>
                <w:b/>
              </w:rPr>
            </w:r>
            <w:r>
              <w:rPr>
                <w:rFonts w:ascii="Arial" w:hAnsi="Arial"/>
                <w:b/>
                <w:i w:val="0"/>
                <w:color w:val="B7791F"/>
                <w:sz w:val="19"/>
              </w:rPr>
              <w:t xml:space="preserve">CONTEXT</w:t>
            </w:r>
          </w:p>
        </w:tc>
        <w:tc>
          <w:tcPr>
            <w:tcW w:type="dxa" w:w="5260"/>
          </w:tcPr>
          <w:p>
            <w:pPr>
              <w:spacing w:before="0" w:after="0" w:line="252" w:lineRule="auto"/>
              <w:jc w:val="left"/>
            </w:pPr>
            <w:r/>
            <w:r>
              <w:rPr>
                <w:rFonts w:ascii="Arial" w:hAnsi="Arial"/>
                <w:b w:val="0"/>
                <w:i w:val="0"/>
                <w:color w:val="1F2937"/>
                <w:sz w:val="18"/>
              </w:rPr>
              <w:t xml:space="preserve">SALDEV-1427 Apex tests do not execute or prove the JavaScript clone hook.</w:t>
            </w:r>
          </w:p>
        </w:tc>
      </w:tr>
      <w:tr>
        <w:tc>
          <w:tcPr>
            <w:tcW w:type="dxa" w:w="2200"/>
          </w:tcPr>
          <w:p>
            <w:pPr>
              <w:spacing w:before="0" w:after="0" w:line="252" w:lineRule="auto"/>
              <w:jc w:val="left"/>
            </w:pPr>
            <w:r/>
            <w:r>
              <w:rPr>
                <w:rFonts w:ascii="Arial" w:hAnsi="Arial"/>
                <w:b w:val="0"/>
                <w:i w:val="0"/>
                <w:color w:val="1F2937"/>
                <w:sz w:val="18"/>
              </w:rPr>
              <w:t xml:space="preserve">JavaScript unit proof</w:t>
            </w:r>
          </w:p>
        </w:tc>
        <w:tc>
          <w:tcPr>
            <w:tcW w:type="dxa" w:w="1900"/>
            <w:shd w:fill="FDEBEC" w:val="clear"/>
          </w:tcPr>
          <w:p>
            <w:pPr>
              <w:spacing w:before="0" w:after="0" w:line="252" w:lineRule="auto"/>
              <w:jc w:val="center"/>
            </w:pPr>
            <w:r>
              <w:rPr>
                <w:color w:val="C53030"/>
                <w:b/>
              </w:rPr>
            </w:r>
            <w:r>
              <w:rPr>
                <w:rFonts w:ascii="Arial" w:hAnsi="Arial"/>
                <w:b/>
                <w:i w:val="0"/>
                <w:color w:val="C53030"/>
                <w:sz w:val="19"/>
              </w:rPr>
              <w:t xml:space="preserve">MISSING</w:t>
            </w:r>
          </w:p>
        </w:tc>
        <w:tc>
          <w:tcPr>
            <w:tcW w:type="dxa" w:w="5260"/>
          </w:tcPr>
          <w:p>
            <w:pPr>
              <w:spacing w:before="0" w:after="0" w:line="252" w:lineRule="auto"/>
              <w:jc w:val="left"/>
            </w:pPr>
            <w:r/>
            <w:r>
              <w:rPr>
                <w:rFonts w:ascii="Arial" w:hAnsi="Arial"/>
                <w:b w:val="0"/>
                <w:i w:val="0"/>
                <w:color w:val="1F2937"/>
                <w:sz w:val="18"/>
              </w:rPr>
              <w:t xml:space="preserve">No automated test demonstrates each ARR field changes from populated to null.</w:t>
            </w:r>
          </w:p>
        </w:tc>
      </w:tr>
      <w:tr>
        <w:tc>
          <w:tcPr>
            <w:tcW w:type="dxa" w:w="2200"/>
          </w:tcPr>
          <w:p>
            <w:pPr>
              <w:spacing w:before="0" w:after="0" w:line="252" w:lineRule="auto"/>
              <w:jc w:val="left"/>
            </w:pPr>
            <w:r/>
            <w:r>
              <w:rPr>
                <w:rFonts w:ascii="Arial" w:hAnsi="Arial"/>
                <w:b w:val="0"/>
                <w:i w:val="0"/>
                <w:color w:val="1F2937"/>
                <w:sz w:val="18"/>
              </w:rPr>
              <w:t xml:space="preserve">Record-level acceptance</w:t>
            </w:r>
          </w:p>
        </w:tc>
        <w:tc>
          <w:tcPr>
            <w:tcW w:type="dxa" w:w="1900"/>
            <w:shd w:fill="FDEBEC" w:val="clear"/>
          </w:tcPr>
          <w:p>
            <w:pPr>
              <w:spacing w:before="0" w:after="0" w:line="252" w:lineRule="auto"/>
              <w:jc w:val="center"/>
            </w:pPr>
            <w:r>
              <w:rPr>
                <w:color w:val="C53030"/>
                <w:b/>
              </w:rPr>
            </w:r>
            <w:r>
              <w:rPr>
                <w:rFonts w:ascii="Arial" w:hAnsi="Arial"/>
                <w:b/>
                <w:i w:val="0"/>
                <w:color w:val="C53030"/>
                <w:sz w:val="19"/>
              </w:rPr>
              <w:t xml:space="preserve">MISSING</w:t>
            </w:r>
          </w:p>
        </w:tc>
        <w:tc>
          <w:tcPr>
            <w:tcW w:type="dxa" w:w="5260"/>
          </w:tcPr>
          <w:p>
            <w:pPr>
              <w:spacing w:before="0" w:after="0" w:line="252" w:lineRule="auto"/>
              <w:jc w:val="left"/>
            </w:pPr>
            <w:r/>
            <w:r>
              <w:rPr>
                <w:rFonts w:ascii="Arial" w:hAnsi="Arial"/>
                <w:b w:val="0"/>
                <w:i w:val="0"/>
                <w:color w:val="1F2937"/>
                <w:sz w:val="18"/>
              </w:rPr>
              <w:t xml:space="preserve">No saved non-SUP clone was checked outside QLE or against the ARR Flow outcome.</w:t>
            </w:r>
          </w:p>
        </w:tc>
      </w:tr>
    </w:tbl>
    <w:p>
      <w:pPr>
        <w:spacing w:after="20"/>
      </w:pPr>
    </w:p>
    <w:p>
      <w:r>
        <w:br w:type="page"/>
      </w:r>
    </w:p>
    <w:p>
      <w:pPr>
        <w:pStyle w:val="Heading1"/>
        <w:keepNext/>
      </w:pPr>
      <w:r>
        <w:t xml:space="preserve">Required clone-data architecture and proof model</w:t>
      </w:r>
    </w:p>
    <w:p>
      <w:pPr>
        <w:spacing w:after="120" w:line="264" w:lineRule="auto"/>
      </w:pPr>
      <w:r>
        <w:rPr>
          <w:rFonts w:ascii="Arial" w:hAnsi="Arial"/>
          <w:b w:val="0"/>
          <w:i w:val="0"/>
          <w:color w:val="1F2937"/>
          <w:sz w:val="22"/>
        </w:rPr>
        <w:t xml:space="preserve">A release-ready solution should use the seven verified ticket fields, clear them once during direct quote-line cloning, preserve the source and Add Products behavior, and prove saved values outside QLE.</w:t>
      </w:r>
    </w:p>
    <w:p>
      <w:pPr>
        <w:keepNext/>
        <w:jc w:val="center"/>
      </w:pPr>
      <w:r>
        <w:drawing>
          <wp:inline xmlns:a="http://schemas.openxmlformats.org/drawingml/2006/main" xmlns:pic="http://schemas.openxmlformats.org/drawingml/2006/picture">
            <wp:extent cx="5897880" cy="4054792"/>
            <wp:docPr id="2" name="Picture 2" title="SALDEV-1371 required clone-data design" descr="Diagram showing the seven-field contract, direct clone-time clearing, record read-back, regression proof, retained strengths, and closure gates."/>
            <wp:cNvGraphicFramePr>
              <a:graphicFrameLocks noChangeAspect="1"/>
            </wp:cNvGraphicFramePr>
            <a:graphic>
              <a:graphicData uri="http://schemas.openxmlformats.org/drawingml/2006/picture">
                <pic:pic>
                  <pic:nvPicPr>
                    <pic:cNvPr id="0" name="scc3385-work-order-model.png"/>
                    <pic:cNvPicPr/>
                  </pic:nvPicPr>
                  <pic:blipFill>
                    <a:blip r:embed="rId18"/>
                    <a:stretch>
                      <a:fillRect/>
                    </a:stretch>
                  </pic:blipFill>
                  <pic:spPr>
                    <a:xfrm>
                      <a:off x="0" y="0"/>
                      <a:ext cx="5897880" cy="4054792"/>
                    </a:xfrm>
                    <a:prstGeom prst="rect"/>
                  </pic:spPr>
                </pic:pic>
              </a:graphicData>
            </a:graphic>
          </wp:inline>
        </w:drawing>
      </w:r>
    </w:p>
    <w:p>
      <w:pPr>
        <w:keepNext/>
        <w:spacing w:before="40" w:after="160"/>
        <w:jc w:val="center"/>
      </w:pPr>
      <w:r>
        <w:rPr>
          <w:rFonts w:ascii="Arial" w:hAnsi="Arial"/>
          <w:b w:val="0"/>
          <w:i/>
          <w:color w:val="5B6777"/>
          <w:sz w:val="18"/>
        </w:rPr>
        <w:t xml:space="preserve">Figure 2. SALDEV-1371 required clone contract and record-level proof</w:t>
      </w:r>
    </w:p>
    <w:p>
      <w:pPr>
        <w:spacing w:after="120" w:line="264" w:lineRule="auto"/>
      </w:pPr>
      <w:r>
        <w:rPr>
          <w:rFonts w:ascii="Arial" w:hAnsi="Arial"/>
          <w:b/>
          <w:i w:val="0"/>
          <w:color w:val="1F2937"/>
          <w:sz w:val="22"/>
        </w:rPr>
        <w:t xml:space="preserve">Architect interpretation: the seven required API names exist and the nulling intent is visible, but a complete runtime dependency contract and saved-record proof are mandatory. SALDEV-1427 is the linked delivery vehicle; its Apex evidence does not validate this JavaScript criterion.</w:t>
      </w:r>
      <w:r>
        <w:rPr>
          <w:rFonts w:ascii="Arial" w:hAnsi="Arial"/>
          <w:b w:val="0"/>
          <w:i w:val="0"/>
          <w:color w:val="1F2937"/>
          <w:sz w:val="22"/>
        </w:rPr>
        <w:t xml:space="preserve"/>
      </w:r>
    </w:p>
    <w:p>
      <w:r>
        <w:br w:type="page"/>
      </w:r>
    </w:p>
    <w:p>
      <w:pPr>
        <w:pStyle w:val="Heading1"/>
        <w:keepNext/>
      </w:pPr>
      <w:r>
        <w:t xml:space="preserve">Completion gates</w:t>
      </w:r>
    </w:p>
    <w:tbl>
      <w:tblPr>
        <w:tblStyle w:val="TableGrid"/>
        <w:tblW w:type="dxa" w:w="9360"/>
        <w:jc w:val="left"/>
        <w:tblLayout w:type="fixed"/>
        <w:tblLook w:firstColumn="1" w:firstRow="1" w:lastColumn="0" w:lastRow="0" w:noHBand="0" w:noVBand="1" w:val="04A0"/>
        <w:tblInd w:w="120" w:type="dxa"/>
      </w:tblPr>
      <w:tblGrid>
        <w:gridCol w:w="850"/>
        <w:gridCol w:w="2500"/>
        <w:gridCol w:w="2000"/>
        <w:gridCol w:w="4010"/>
      </w:tblGrid>
      <w:tr>
        <w:trPr>
          <w:tblHeader w:val="1"/>
        </w:trPr>
        <w:tc>
          <w:tcPr>
            <w:tcW w:type="dxa" w:w="8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Gate</w:t>
            </w:r>
          </w:p>
        </w:tc>
        <w:tc>
          <w:tcPr>
            <w:tcW w:type="dxa" w:w="25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Required action</w:t>
            </w:r>
          </w:p>
        </w:tc>
        <w:tc>
          <w:tcPr>
            <w:tcW w:type="dxa" w:w="20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Owner</w:t>
            </w:r>
          </w:p>
        </w:tc>
        <w:tc>
          <w:tcPr>
            <w:tcW w:type="dxa" w:w="401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 needed</w:t>
            </w:r>
          </w:p>
        </w:tc>
      </w:tr>
      <w:tr>
        <w:tc>
          <w:tcPr>
            <w:tcW w:type="dxa" w:w="850"/>
          </w:tcPr>
          <w:p>
            <w:pPr>
              <w:spacing w:before="0" w:after="0" w:line="252" w:lineRule="auto"/>
              <w:jc w:val="left"/>
            </w:pPr>
            <w:r/>
            <w:r>
              <w:rPr>
                <w:rFonts w:ascii="Arial" w:hAnsi="Arial"/>
                <w:b w:val="0"/>
                <w:i w:val="0"/>
                <w:color w:val="1F2937"/>
                <w:sz w:val="18"/>
              </w:rPr>
              <w:t>1</w:t>
            </w:r>
          </w:p>
        </w:tc>
        <w:tc>
          <w:tcPr>
            <w:tcW w:type="dxa" w:w="2500"/>
          </w:tcPr>
          <w:p>
            <w:pPr>
              <w:spacing w:before="0" w:after="0" w:line="252" w:lineRule="auto"/>
              <w:jc w:val="left"/>
            </w:pPr>
            <w:r/>
            <w:r>
              <w:rPr>
                <w:rFonts w:ascii="Arial" w:hAnsi="Arial"/>
                <w:b w:val="0"/>
                <w:i w:val="0"/>
                <w:color w:val="1F2937"/>
                <w:sz w:val="18"/>
              </w:rPr>
              <w:t xml:space="preserve">Confirm seven-field story scope</w:t>
            </w:r>
          </w:p>
        </w:tc>
        <w:tc>
          <w:tcPr>
            <w:tcW w:type="dxa" w:w="2000"/>
          </w:tcPr>
          <w:p>
            <w:pPr>
              <w:spacing w:before="0" w:after="0" w:line="252" w:lineRule="auto"/>
              <w:jc w:val="left"/>
            </w:pPr>
            <w:r/>
            <w:r>
              <w:rPr>
                <w:rFonts w:ascii="Arial" w:hAnsi="Arial"/>
                <w:b w:val="0"/>
                <w:i w:val="0"/>
                <w:color w:val="1F2937"/>
                <w:sz w:val="18"/>
              </w:rPr>
              <w:t xml:space="preserve">Product Owner</w:t>
            </w:r>
          </w:p>
        </w:tc>
        <w:tc>
          <w:tcPr>
            <w:tcW w:type="dxa" w:w="4010"/>
          </w:tcPr>
          <w:p>
            <w:pPr>
              <w:spacing w:before="0" w:after="0" w:line="252" w:lineRule="auto"/>
              <w:jc w:val="left"/>
            </w:pPr>
            <w:r/>
            <w:r>
              <w:rPr>
                <w:rFonts w:ascii="Arial" w:hAnsi="Arial"/>
                <w:b w:val="0"/>
                <w:i w:val="0"/>
                <w:color w:val="1F2937"/>
                <w:sz w:val="18"/>
              </w:rPr>
              <w:t xml:space="preserve">Approve the seven fields and separately govern any broader nulling behavior.</w:t>
            </w:r>
          </w:p>
        </w:tc>
      </w:tr>
      <w:tr>
        <w:tc>
          <w:tcPr>
            <w:tcW w:type="dxa" w:w="850"/>
          </w:tcPr>
          <w:p>
            <w:pPr>
              <w:spacing w:before="0" w:after="0" w:line="252" w:lineRule="auto"/>
              <w:jc w:val="left"/>
            </w:pPr>
            <w:r/>
            <w:r>
              <w:rPr>
                <w:rFonts w:ascii="Arial" w:hAnsi="Arial"/>
                <w:b w:val="0"/>
                <w:i w:val="0"/>
                <w:color w:val="1F2937"/>
                <w:sz w:val="18"/>
              </w:rPr>
              <w:t>2</w:t>
            </w:r>
          </w:p>
        </w:tc>
        <w:tc>
          <w:tcPr>
            <w:tcW w:type="dxa" w:w="2500"/>
          </w:tcPr>
          <w:p>
            <w:pPr>
              <w:spacing w:before="0" w:after="0" w:line="252" w:lineRule="auto"/>
              <w:jc w:val="left"/>
            </w:pPr>
            <w:r/>
            <w:r>
              <w:rPr>
                <w:rFonts w:ascii="Arial" w:hAnsi="Arial"/>
                <w:b w:val="0"/>
                <w:i w:val="0"/>
                <w:color w:val="1F2937"/>
                <w:sz w:val="18"/>
              </w:rPr>
              <w:t xml:space="preserve">Declare all seven dependencies</w:t>
            </w:r>
          </w:p>
        </w:tc>
        <w:tc>
          <w:tcPr>
            <w:tcW w:type="dxa" w:w="2000"/>
          </w:tcPr>
          <w:p>
            <w:pPr>
              <w:spacing w:before="0" w:after="0" w:line="252" w:lineRule="auto"/>
              <w:jc w:val="left"/>
            </w:pPr>
            <w:r/>
            <w:r>
              <w:rPr>
                <w:rFonts w:ascii="Arial" w:hAnsi="Arial"/>
                <w:b w:val="0"/>
                <w:i w:val="0"/>
                <w:color w:val="1F2937"/>
                <w:sz w:val="18"/>
              </w:rPr>
              <w:t xml:space="preserve">CPQ Developer</w:t>
            </w:r>
          </w:p>
        </w:tc>
        <w:tc>
          <w:tcPr>
            <w:tcW w:type="dxa" w:w="4010"/>
          </w:tcPr>
          <w:p>
            <w:pPr>
              <w:spacing w:before="0" w:after="0" w:line="252" w:lineRule="auto"/>
              <w:jc w:val="left"/>
            </w:pPr>
            <w:r/>
            <w:r>
              <w:rPr>
                <w:rFonts w:ascii="Arial" w:hAnsi="Arial"/>
                <w:b w:val="0"/>
                <w:i w:val="0"/>
                <w:color w:val="1F2937"/>
                <w:sz w:val="18"/>
              </w:rPr>
              <w:t xml:space="preserve">The clone script exposes every SALDEV-1371 field it writes.</w:t>
            </w:r>
          </w:p>
        </w:tc>
      </w:tr>
      <w:tr>
        <w:tc>
          <w:tcPr>
            <w:tcW w:type="dxa" w:w="850"/>
          </w:tcPr>
          <w:p>
            <w:pPr>
              <w:spacing w:before="0" w:after="0" w:line="252" w:lineRule="auto"/>
              <w:jc w:val="left"/>
            </w:pPr>
            <w:r/>
            <w:r>
              <w:rPr>
                <w:rFonts w:ascii="Arial" w:hAnsi="Arial"/>
                <w:b w:val="0"/>
                <w:i w:val="0"/>
                <w:color w:val="1F2937"/>
                <w:sz w:val="18"/>
              </w:rPr>
              <w:t>3</w:t>
            </w:r>
          </w:p>
        </w:tc>
        <w:tc>
          <w:tcPr>
            <w:tcW w:type="dxa" w:w="2500"/>
          </w:tcPr>
          <w:p>
            <w:pPr>
              <w:spacing w:before="0" w:after="0" w:line="252" w:lineRule="auto"/>
              <w:jc w:val="left"/>
            </w:pPr>
            <w:r/>
            <w:r>
              <w:rPr>
                <w:rFonts w:ascii="Arial" w:hAnsi="Arial"/>
                <w:b w:val="0"/>
                <w:i w:val="0"/>
                <w:color w:val="1F2937"/>
                <w:sz w:val="18"/>
              </w:rPr>
              <w:t xml:space="preserve">Centralize nulling logic</w:t>
            </w:r>
          </w:p>
        </w:tc>
        <w:tc>
          <w:tcPr>
            <w:tcW w:type="dxa" w:w="2000"/>
          </w:tcPr>
          <w:p>
            <w:pPr>
              <w:spacing w:before="0" w:after="0" w:line="252" w:lineRule="auto"/>
              <w:jc w:val="left"/>
            </w:pPr>
            <w:r/>
            <w:r>
              <w:rPr>
                <w:rFonts w:ascii="Arial" w:hAnsi="Arial"/>
                <w:b w:val="0"/>
                <w:i w:val="0"/>
                <w:color w:val="1F2937"/>
                <w:sz w:val="18"/>
              </w:rPr>
              <w:t xml:space="preserve">CPQ Developer</w:t>
            </w:r>
          </w:p>
        </w:tc>
        <w:tc>
          <w:tcPr>
            <w:tcW w:type="dxa" w:w="4010"/>
          </w:tcPr>
          <w:p>
            <w:pPr>
              <w:spacing w:before="0" w:after="0" w:line="252" w:lineRule="auto"/>
              <w:jc w:val="left"/>
            </w:pPr>
            <w:r/>
            <w:r>
              <w:rPr>
                <w:rFonts w:ascii="Arial" w:hAnsi="Arial"/>
                <w:b w:val="0"/>
                <w:i w:val="0"/>
                <w:color w:val="1F2937"/>
                <w:sz w:val="18"/>
              </w:rPr>
              <w:t xml:space="preserve">One canonical field definition and one clear mutation path with visible errors.</w:t>
            </w:r>
          </w:p>
        </w:tc>
      </w:tr>
      <w:tr>
        <w:tc>
          <w:tcPr>
            <w:tcW w:type="dxa" w:w="850"/>
          </w:tcPr>
          <w:p>
            <w:pPr>
              <w:spacing w:before="0" w:after="0" w:line="252" w:lineRule="auto"/>
              <w:jc w:val="left"/>
            </w:pPr>
            <w:r/>
            <w:r>
              <w:rPr>
                <w:rFonts w:ascii="Arial" w:hAnsi="Arial"/>
                <w:b w:val="0"/>
                <w:i w:val="0"/>
                <w:color w:val="1F2937"/>
                <w:sz w:val="18"/>
              </w:rPr>
              <w:t>4</w:t>
            </w:r>
          </w:p>
        </w:tc>
        <w:tc>
          <w:tcPr>
            <w:tcW w:type="dxa" w:w="2500"/>
          </w:tcPr>
          <w:p>
            <w:pPr>
              <w:spacing w:before="0" w:after="0" w:line="252" w:lineRule="auto"/>
              <w:jc w:val="left"/>
            </w:pPr>
            <w:r/>
            <w:r>
              <w:rPr>
                <w:rFonts w:ascii="Arial" w:hAnsi="Arial"/>
                <w:b w:val="0"/>
                <w:i w:val="0"/>
                <w:color w:val="1F2937"/>
                <w:sz w:val="18"/>
              </w:rPr>
              <w:t xml:space="preserve">Add JavaScript unit tests</w:t>
            </w:r>
          </w:p>
        </w:tc>
        <w:tc>
          <w:tcPr>
            <w:tcW w:type="dxa" w:w="2000"/>
          </w:tcPr>
          <w:p>
            <w:pPr>
              <w:spacing w:before="0" w:after="0" w:line="252" w:lineRule="auto"/>
              <w:jc w:val="left"/>
            </w:pPr>
            <w:r/>
            <w:r>
              <w:rPr>
                <w:rFonts w:ascii="Arial" w:hAnsi="Arial"/>
                <w:b w:val="0"/>
                <w:i w:val="0"/>
                <w:color w:val="1F2937"/>
                <w:sz w:val="18"/>
              </w:rPr>
              <w:t xml:space="preserve">Developer</w:t>
            </w:r>
          </w:p>
        </w:tc>
        <w:tc>
          <w:tcPr>
            <w:tcW w:type="dxa" w:w="4010"/>
          </w:tcPr>
          <w:p>
            <w:pPr>
              <w:spacing w:before="0" w:after="0" w:line="252" w:lineRule="auto"/>
              <w:jc w:val="left"/>
            </w:pPr>
            <w:r/>
            <w:r>
              <w:rPr>
                <w:rFonts w:ascii="Arial" w:hAnsi="Arial"/>
                <w:b w:val="0"/>
                <w:i w:val="0"/>
                <w:color w:val="1F2937"/>
                <w:sz w:val="18"/>
              </w:rPr>
              <w:t xml:space="preserve">Populated-to-null assertions for all seven fields; source values remain intact.</w:t>
            </w:r>
          </w:p>
        </w:tc>
      </w:tr>
      <w:tr>
        <w:tc>
          <w:tcPr>
            <w:tcW w:type="dxa" w:w="850"/>
          </w:tcPr>
          <w:p>
            <w:pPr>
              <w:spacing w:before="0" w:after="0" w:line="252" w:lineRule="auto"/>
              <w:jc w:val="left"/>
            </w:pPr>
            <w:r/>
            <w:r>
              <w:rPr>
                <w:rFonts w:ascii="Arial" w:hAnsi="Arial"/>
                <w:b w:val="0"/>
                <w:i w:val="0"/>
                <w:color w:val="1F2937"/>
                <w:sz w:val="18"/>
              </w:rPr>
              <w:t>5</w:t>
            </w:r>
          </w:p>
        </w:tc>
        <w:tc>
          <w:tcPr>
            <w:tcW w:type="dxa" w:w="2500"/>
          </w:tcPr>
          <w:p>
            <w:pPr>
              <w:spacing w:before="0" w:after="0" w:line="252" w:lineRule="auto"/>
              <w:jc w:val="left"/>
            </w:pPr>
            <w:r/>
            <w:r>
              <w:rPr>
                <w:rFonts w:ascii="Arial" w:hAnsi="Arial"/>
                <w:b w:val="0"/>
                <w:i w:val="0"/>
                <w:color w:val="1F2937"/>
                <w:sz w:val="18"/>
              </w:rPr>
              <w:t xml:space="preserve">Run non-SUP line-clone test</w:t>
            </w:r>
          </w:p>
        </w:tc>
        <w:tc>
          <w:tcPr>
            <w:tcW w:type="dxa" w:w="2000"/>
          </w:tcPr>
          <w:p>
            <w:pPr>
              <w:spacing w:before="0" w:after="0" w:line="252" w:lineRule="auto"/>
              <w:jc w:val="left"/>
            </w:pPr>
            <w:r/>
            <w:r>
              <w:rPr>
                <w:rFonts w:ascii="Arial" w:hAnsi="Arial"/>
                <w:b w:val="0"/>
                <w:i w:val="0"/>
                <w:color w:val="1F2937"/>
                <w:sz w:val="18"/>
              </w:rPr>
              <w:t xml:space="preserve">CPQ QA</w:t>
            </w:r>
          </w:p>
        </w:tc>
        <w:tc>
          <w:tcPr>
            <w:tcW w:type="dxa" w:w="4010"/>
          </w:tcPr>
          <w:p>
            <w:pPr>
              <w:spacing w:before="0" w:after="0" w:line="252" w:lineRule="auto"/>
              <w:jc w:val="left"/>
            </w:pPr>
            <w:r/>
            <w:r>
              <w:rPr>
                <w:rFonts w:ascii="Arial" w:hAnsi="Arial"/>
                <w:b w:val="0"/>
                <w:i w:val="0"/>
                <w:color w:val="1F2937"/>
                <w:sz w:val="18"/>
              </w:rPr>
              <w:t xml:space="preserve">Saved clone shows seven nulls outside QLE; Add Products remains unchanged.</w:t>
            </w:r>
          </w:p>
        </w:tc>
      </w:tr>
      <w:tr>
        <w:tc>
          <w:tcPr>
            <w:tcW w:type="dxa" w:w="850"/>
          </w:tcPr>
          <w:p>
            <w:pPr>
              <w:spacing w:before="0" w:after="0" w:line="252" w:lineRule="auto"/>
              <w:jc w:val="left"/>
            </w:pPr>
            <w:r/>
            <w:r>
              <w:rPr>
                <w:rFonts w:ascii="Arial" w:hAnsi="Arial"/>
                <w:b w:val="0"/>
                <w:i w:val="0"/>
                <w:color w:val="1F2937"/>
                <w:sz w:val="18"/>
              </w:rPr>
              <w:t>6</w:t>
            </w:r>
          </w:p>
        </w:tc>
        <w:tc>
          <w:tcPr>
            <w:tcW w:type="dxa" w:w="2500"/>
          </w:tcPr>
          <w:p>
            <w:pPr>
              <w:spacing w:before="0" w:after="0" w:line="252" w:lineRule="auto"/>
              <w:jc w:val="left"/>
            </w:pPr>
            <w:r/>
            <w:r>
              <w:rPr>
                <w:rFonts w:ascii="Arial" w:hAnsi="Arial"/>
                <w:b w:val="0"/>
                <w:i w:val="0"/>
                <w:color w:val="1F2937"/>
                <w:sz w:val="18"/>
              </w:rPr>
              <w:t xml:space="preserve">Re-test SALDEV-1351 outcome</w:t>
            </w:r>
          </w:p>
        </w:tc>
        <w:tc>
          <w:tcPr>
            <w:tcW w:type="dxa" w:w="2000"/>
          </w:tcPr>
          <w:p>
            <w:pPr>
              <w:spacing w:before="0" w:after="0" w:line="252" w:lineRule="auto"/>
              <w:jc w:val="left"/>
            </w:pPr>
            <w:r/>
            <w:r>
              <w:rPr>
                <w:rFonts w:ascii="Arial" w:hAnsi="Arial"/>
                <w:b w:val="0"/>
                <w:i w:val="0"/>
                <w:color w:val="1F2937"/>
                <w:sz w:val="18"/>
              </w:rPr>
              <w:t xml:space="preserve">CPQ QA / RevOps</w:t>
            </w:r>
          </w:p>
        </w:tc>
        <w:tc>
          <w:tcPr>
            <w:tcW w:type="dxa" w:w="4010"/>
          </w:tcPr>
          <w:p>
            <w:pPr>
              <w:spacing w:before="0" w:after="0" w:line="252" w:lineRule="auto"/>
              <w:jc w:val="left"/>
            </w:pPr>
            <w:r/>
            <w:r>
              <w:rPr>
                <w:rFonts w:ascii="Arial" w:hAnsi="Arial"/>
                <w:b w:val="0"/>
                <w:i w:val="0"/>
                <w:color w:val="1F2937"/>
                <w:sz w:val="18"/>
              </w:rPr>
              <w:t xml:space="preserve">The clone no longer inflates ARR and the background Flow result is correct.</w:t>
            </w:r>
          </w:p>
        </w:tc>
      </w:tr>
    </w:tbl>
    <w:p>
      <w:pPr>
        <w:spacing w:after="20"/>
      </w:pPr>
    </w:p>
    <w:p>
      <w:pPr>
        <w:pStyle w:val="Heading1"/>
        <w:keepNext/>
      </w:pPr>
      <w:r>
        <w:t>Ready-to-paste architect response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2FB" w:val="clear"/>
          </w:tcPr>
          <w:p>
            <w:pPr>
              <w:spacing w:after="40"/>
            </w:pPr>
            <w:r>
              <w:rPr>
                <w:rFonts w:ascii="Arial" w:hAnsi="Arial"/>
                <w:b/>
                <w:i w:val="0"/>
                <w:color w:val="2E74B5"/>
                <w:sz w:val="18"/>
              </w:rPr>
              <w:t>STORY COMMENT</w:t>
            </w:r>
          </w:p>
          <w:p>
            <w:pPr>
              <w:spacing w:after="0" w:line="259" w:lineRule="auto"/>
            </w:pPr>
            <w:r>
              <w:rPr>
                <w:rFonts w:ascii="Arial" w:hAnsi="Arial"/>
                <w:b/>
                <w:i w:val="0"/>
                <w:color w:val="0B2545"/>
                <w:sz w:val="22"/>
              </w:rPr>
              <w:t xml:space="preserve">Architect review completed for SALDEV-1371 in FlywirePartial. Decision: Changes Requested / NO-GO for story closure. All seven ticket field APIs exist, the live QLE_CloneLineHandler includes null assignments for them, and both related scripts pass JavaScript syntax checks. However, the clone script declares only NS ID and Opportunity Line ID rather than the seven fields it writes; the implementation expands to a broader 25-field list without approval evidenced in this story; the list is duplicated across scripts; and no JavaScript unit or saved-record evidence proves a non-stepped quote-line clone has null values outside QLE. SALDEV-1427 is the linked delivery vehicle, but its Apex evidence does not execute this JavaScript path. Confirm scope, declare all seven dependencies, centralize the field contract, add exact tests, verify the saved clone and Add Products control, and re-run the SALDEV-1351 ARR regression before closing the duplicate. No deployment or Salesforce change occurred.</w:t>
            </w:r>
          </w:p>
        </w:tc>
      </w:tr>
    </w:tbl>
    <w:p>
      <w:pPr>
        <w:spacing w:after="20"/>
      </w:pPr>
    </w:p>
    <w:p>
      <w:pPr>
        <w:pStyle w:val="Heading2"/>
        <w:keepNext/>
      </w:pPr>
      <w:r>
        <w:t>Evidence boundary</w:t>
      </w:r>
    </w:p>
    <w:p>
      <w:pPr>
        <w:spacing w:after="120" w:line="264" w:lineRule="auto"/>
      </w:pPr>
      <w:r>
        <w:rPr>
          <w:rFonts w:ascii="Arial" w:hAnsi="Arial"/>
          <w:b w:val="0"/>
          <w:i w:val="0"/>
          <w:color w:val="1F2937"/>
          <w:sz w:val="22"/>
        </w:rPr>
        <w:t xml:space="preserve">Evidence: the SALDEV-1371 source document, verified FlywirePartial sandbox and scripts, seven-field schema read-back, and syntax checks. No cloned records were created or saved, and no Salesforce record or metadata changes, deployment, activation, promotion, or Production action occurred.</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review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review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review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before="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SALDEV 1371 ARR Clone Data Integrity Architect Review</dc:title>
  <dc:subject>Read-only non-stepped quote-line cloning best-practice assessment</dc:subject>
  <dc:creator>Solution Architecture Review</dc:creator>
  <cp:keywords>Salesforce, Flywire, SALDEV-1371, CPQ, QCP, architect review</cp:keywords>
  <dc:description>Standalone best-practice review derived from the established Flywire architect-review format.</dc:description>
  <cp:lastModifiedBy/>
  <cp:revision>1</cp:revision>
  <dcterms:created xsi:type="dcterms:W3CDTF">2013-12-23T23:15:00Z</dcterms:created>
  <dcterms:modified xsi:type="dcterms:W3CDTF">2026-09-04T18:01:00Z</dcterms:modified>
  <cp:category/>
</cp:coreProperties>
</file>