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Arial" w:hAnsi="Arial"/>
          <w:b/>
          <w:i w:val="0"/>
          <w:color w:val="2E74B5"/>
          <w:sz w:val="20"/>
        </w:rPr>
        <w:t>ARCHITECT REVIEW</w:t>
      </w:r>
    </w:p>
    <w:p>
      <w:pPr>
        <w:spacing w:after="80"/>
      </w:pPr>
      <w:r>
        <w:rPr>
          <w:rFonts w:ascii="Arial" w:hAnsi="Arial"/>
          <w:b/>
          <w:i w:val="0"/>
          <w:color w:val="0B2545"/>
          <w:sz w:val="50"/>
        </w:rPr>
        <w:t xml:space="preserve">SALDEV-1427 / SALDEV-1371 | QCP Clone Integrity</w:t>
      </w:r>
    </w:p>
    <w:p>
      <w:pPr>
        <w:spacing w:after="280"/>
      </w:pPr>
      <w:r>
        <w:rPr>
          <w:rFonts w:ascii="Arial" w:hAnsi="Arial"/>
          <w:b w:val="0"/>
          <w:i w:val="0"/>
          <w:color w:val="5B6777"/>
          <w:sz w:val="26"/>
        </w:rPr>
        <w:t xml:space="preserve">FlywirePartial | Read-only CPQ JavaScript and Apex best-practice review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1"/>
        </w:trP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8"/>
              </w:rPr>
              <w:t>Source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FlywirePartial | Enterprise sandbox 00DhG0000000jOXUAY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8"/>
              </w:rPr>
              <w:t xml:space="preserve">Scope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2 QCP scripts | 1 trigger | 1 handler | 1 test class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8"/>
              </w:rPr>
              <w:t>Review date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4 September 2026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8"/>
              </w:rPr>
              <w:t xml:space="preserve">Validation mode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Live read-back | JS syntax | focused Apex tests | check-only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8"/>
              </w:rPr>
              <w:t>Decision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NO-GO — Changes Requested before QA or promotion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8"/>
              </w:rPr>
              <w:t>Boundary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Read-only review; no record, metadata, activation, or deployment changes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EBEC" w:val="clear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C53030"/>
                <w:sz w:val="18"/>
              </w:rPr>
              <w:t>ARCHITECT DECISION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 xml:space="preserve">Changes Requested. The implementation contains several good Apex practices, but it is not release-ready: QCP dependencies are incomplete, Domestic_Sponsor__c is not a real quote-line field, usage fields are simultaneously read-only and editable, lineage matching is ambiguous, and the check-only gate failed at 43.59% trigger coverage.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Acceptance and quality outcome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0"/>
        <w:gridCol w:w="2050"/>
        <w:gridCol w:w="1450"/>
        <w:gridCol w:w="5380"/>
      </w:tblGrid>
      <w:tr>
        <w:trPr>
          <w:tblHeader w:val="1"/>
        </w:trPr>
        <w:tc>
          <w:tcPr>
            <w:tcW w:type="dxa" w:w="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20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Scope</w:t>
            </w:r>
          </w:p>
        </w:tc>
        <w:tc>
          <w:tcPr>
            <w:tcW w:type="dxa" w:w="14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Result</w:t>
            </w:r>
          </w:p>
        </w:tc>
        <w:tc>
          <w:tcPr>
            <w:tcW w:type="dxa" w:w="53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</w:t>
            </w:r>
          </w:p>
        </w:tc>
      </w:tr>
      <w:tr>
        <w:tc>
          <w:tcPr>
            <w:tcW w:type="dxa" w:w="4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ARR fields cleared on clones</w:t>
            </w:r>
          </w:p>
        </w:tc>
        <w:tc>
          <w:tcPr>
            <w:tcW w:type="dxa" w:w="1450"/>
            <w:shd w:fill="FFF4D6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B7791F"/>
                <w:b/>
              </w:rPr>
            </w:r>
            <w:r>
              <w:rPr>
                <w:rFonts w:ascii="Arial" w:hAnsi="Arial"/>
                <w:b/>
                <w:i w:val="0"/>
                <w:color w:val="B7791F"/>
                <w:sz w:val="19"/>
              </w:rPr>
              <w:t xml:space="preserve">NOT PROVEN</w:t>
            </w:r>
          </w:p>
        </w:tc>
        <w:tc>
          <w:tcPr>
            <w:tcW w:type="dxa" w:w="53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Both scripts carry the nulling list, but clone dependencies omit all 25 fields and one API name is invalid.</w:t>
            </w:r>
          </w:p>
        </w:tc>
      </w:tr>
      <w:tr>
        <w:tc>
          <w:tcPr>
            <w:tcW w:type="dxa" w:w="4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First ramp group editable</w:t>
            </w:r>
          </w:p>
        </w:tc>
        <w:tc>
          <w:tcPr>
            <w:tcW w:type="dxa" w:w="1450"/>
            <w:shd w:fill="FFF4D6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B7791F"/>
                <w:b/>
              </w:rPr>
            </w:r>
            <w:r>
              <w:rPr>
                <w:rFonts w:ascii="Arial" w:hAnsi="Arial"/>
                <w:b/>
                <w:i w:val="0"/>
                <w:color w:val="B7791F"/>
                <w:sz w:val="19"/>
              </w:rPr>
              <w:t xml:space="preserve">PARTIAL</w:t>
            </w:r>
          </w:p>
        </w:tc>
        <w:tc>
          <w:tcPr>
            <w:tcW w:type="dxa" w:w="53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An editable allowlist exists; no live QLE functional run was performed in this read-only review.</w:t>
            </w:r>
          </w:p>
        </w:tc>
      </w:tr>
      <w:tr>
        <w:tc>
          <w:tcPr>
            <w:tcW w:type="dxa" w:w="4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Later groups restricted</w:t>
            </w:r>
          </w:p>
        </w:tc>
        <w:tc>
          <w:tcPr>
            <w:tcW w:type="dxa" w:w="1450"/>
            <w:shd w:fill="FDEBEC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C53030"/>
                <w:b/>
              </w:rPr>
            </w:r>
            <w:r>
              <w:rPr>
                <w:rFonts w:ascii="Arial" w:hAnsi="Arial"/>
                <w:b/>
                <w:i w:val="0"/>
                <w:color w:val="C53030"/>
                <w:sz w:val="19"/>
              </w:rPr>
              <w:t xml:space="preserve">DEFECT</w:t>
            </w:r>
          </w:p>
        </w:tc>
        <w:tc>
          <w:tcPr>
            <w:tcW w:type="dxa" w:w="53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The script reads group Source and Number, but only Allow Product Ramping is declared as a group dependency.</w:t>
            </w:r>
          </w:p>
        </w:tc>
      </w:tr>
      <w:tr>
        <w:tc>
          <w:tcPr>
            <w:tcW w:type="dxa" w:w="4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Usage price remains editable</w:t>
            </w:r>
          </w:p>
        </w:tc>
        <w:tc>
          <w:tcPr>
            <w:tcW w:type="dxa" w:w="1450"/>
            <w:shd w:fill="FDEBEC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C53030"/>
                <w:b/>
              </w:rPr>
            </w:r>
            <w:r>
              <w:rPr>
                <w:rFonts w:ascii="Arial" w:hAnsi="Arial"/>
                <w:b/>
                <w:i w:val="0"/>
                <w:color w:val="C53030"/>
                <w:sz w:val="19"/>
              </w:rPr>
              <w:t xml:space="preserve">FAIL</w:t>
            </w:r>
          </w:p>
        </w:tc>
        <w:tc>
          <w:tcPr>
            <w:tcW w:type="dxa" w:w="53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Usage_Rate__c and Usage_Rate_Amt__c are also in the global read-only list, which executes first.</w:t>
            </w:r>
          </w:p>
        </w:tc>
      </w:tr>
      <w:tr>
        <w:tc>
          <w:tcPr>
            <w:tcW w:type="dxa" w:w="4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Opportunity Line ID lineage</w:t>
            </w:r>
          </w:p>
        </w:tc>
        <w:tc>
          <w:tcPr>
            <w:tcW w:type="dxa" w:w="1450"/>
            <w:shd w:fill="FDEBEC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C53030"/>
                <w:b/>
              </w:rPr>
            </w:r>
            <w:r>
              <w:rPr>
                <w:rFonts w:ascii="Arial" w:hAnsi="Arial"/>
                <w:b/>
                <w:i w:val="0"/>
                <w:color w:val="C53030"/>
                <w:sz w:val="19"/>
              </w:rPr>
              <w:t xml:space="preserve">HIGH RISK</w:t>
            </w:r>
          </w:p>
        </w:tc>
        <w:tc>
          <w:tcPr>
            <w:tcW w:type="dxa" w:w="53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The map key is Quote + Product only and does not distinguish group, bundle, configuration, or ship-to context.</w:t>
            </w:r>
          </w:p>
        </w:tc>
      </w:tr>
      <w:tr>
        <w:tc>
          <w:tcPr>
            <w:tcW w:type="dxa" w:w="4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Release test matrix</w:t>
            </w:r>
          </w:p>
        </w:tc>
        <w:tc>
          <w:tcPr>
            <w:tcW w:type="dxa" w:w="1450"/>
            <w:shd w:fill="FDEBEC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C53030"/>
                <w:b/>
              </w:rPr>
            </w:r>
            <w:r>
              <w:rPr>
                <w:rFonts w:ascii="Arial" w:hAnsi="Arial"/>
                <w:b/>
                <w:i w:val="0"/>
                <w:color w:val="C53030"/>
                <w:sz w:val="19"/>
              </w:rPr>
              <w:t xml:space="preserve">FAIL</w:t>
            </w:r>
          </w:p>
        </w:tc>
        <w:tc>
          <w:tcPr>
            <w:tcW w:type="dxa" w:w="53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No JavaScript unit evidence; Apex assertions miss the second-group result; check-only failed coverage.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 xml:space="preserve">Runtime path and defect concentration</w:t>
      </w:r>
    </w:p>
    <w:p>
      <w:pPr>
        <w:spacing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 xml:space="preserve">The design correctly separates QLE JavaScript concerns from Apex lineage assignment, but the configuration contract, rule precedence, mapping identity, and release proof are not yet strong enough for promotion.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759898"/>
            <wp:docPr id="1" name="Picture 1" title="SALDEV-1427 and SALDEV-1371 current runtime path" descr="Diagram showing story intent flowing through two QCP scripts and Apex mapping into a failed check-only release gate, with dependency, editability, lineage, and coverage block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c3385-deployment-validation-pat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59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Arial" w:hAnsi="Arial"/>
          <w:b w:val="0"/>
          <w:i/>
          <w:color w:val="5B6777"/>
          <w:sz w:val="18"/>
        </w:rPr>
        <w:t xml:space="preserve">Figure 1. Current implementation path and release-blocker concentration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DESIGN READING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 xml:space="preserve">Blue shows the intended contract. Green shows practices worth retaining. Amber marks incomplete proof. Red identifies issues that can create incorrect quote-line behavior or block release.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 xml:space="preserve">Detailed code and validation evidence</w:t>
      </w:r>
    </w:p>
    <w:p>
      <w:pPr>
        <w:pStyle w:val="Heading2"/>
        <w:keepNext/>
      </w:pPr>
      <w:r>
        <w:t xml:space="preserve">1. Live component and runtime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350"/>
        <w:gridCol w:w="5260"/>
      </w:tblGrid>
      <w:tr>
        <w:trPr>
          <w:tblHeader w:val="1"/>
        </w:trPr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Evidence area</w:t>
            </w:r>
          </w:p>
        </w:tc>
        <w:tc>
          <w:tcPr>
            <w:tcW w:type="dxa" w:w="23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Observed result</w:t>
            </w:r>
          </w:p>
        </w:tc>
        <w:tc>
          <w:tcPr>
            <w:tcW w:type="dxa" w:w="5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Evidence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Target org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Verified sandbox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FlywirePartial is org 00DhG0000000jOXUAY; Enterprise Edition; IsSandbox=true.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QCP_HideFieldInQLE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Live runtime present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1,999 JavaScript lines; transpiled runtime exists; syntax check passed.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QLE_CloneLineHandler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Live runtime present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58 JavaScript lines; clone hook and runtime exist; syntax check passed.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Apex runtime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Bulk-structured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Trigger delegates to a with-sharing handler using Sets, Maps, and two SOQL queries outside loops.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Field read-back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24 of 25 found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Domestic_Sponsor__c does not exist; Processed_Volume_Amount__c is correctly excluded.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 xml:space="preserve">2. Best-practice findings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600"/>
        <w:gridCol w:w="5310"/>
      </w:tblGrid>
      <w:tr>
        <w:trPr>
          <w:tblHeader w:val="1"/>
        </w:trPr>
        <w:tc>
          <w:tcPr>
            <w:tcW w:type="dxa" w:w="24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Finding</w:t>
            </w:r>
          </w:p>
        </w:tc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Severity</w:t>
            </w:r>
          </w:p>
        </w:tc>
        <w:tc>
          <w:tcPr>
            <w:tcW w:type="dxa" w:w="53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Evidence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Dependency contract</w:t>
            </w:r>
          </w:p>
        </w:tc>
        <w:tc>
          <w:tcPr>
            <w:tcW w:type="dxa" w:w="1600"/>
            <w:shd w:fill="FDEBEC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C53030"/>
                <w:b/>
              </w:rPr>
            </w:r>
            <w:r>
              <w:rPr>
                <w:rFonts w:ascii="Arial" w:hAnsi="Arial"/>
                <w:b/>
                <w:i w:val="0"/>
                <w:color w:val="C53030"/>
                <w:sz w:val="19"/>
              </w:rPr>
              <w:t xml:space="preserve">BLOCKER</w:t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Clone script declares only NS ID and Opportunity Line ID; QCP omits required line and group fields.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Rule precedence</w:t>
            </w:r>
          </w:p>
        </w:tc>
        <w:tc>
          <w:tcPr>
            <w:tcW w:type="dxa" w:w="1600"/>
            <w:shd w:fill="FDEBEC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C53030"/>
                <w:b/>
              </w:rPr>
            </w:r>
            <w:r>
              <w:rPr>
                <w:rFonts w:ascii="Arial" w:hAnsi="Arial"/>
                <w:b/>
                <w:i w:val="0"/>
                <w:color w:val="C53030"/>
                <w:sz w:val="19"/>
              </w:rPr>
              <w:t xml:space="preserve">BLOCKER</w:t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Two usage-rate fields appear in both global read-only and editable-ramping sets; read-only wins.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Lineage determinism</w:t>
            </w:r>
          </w:p>
        </w:tc>
        <w:tc>
          <w:tcPr>
            <w:tcW w:type="dxa" w:w="1600"/>
            <w:shd w:fill="FDEBEC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C53030"/>
                <w:b/>
              </w:rPr>
            </w:r>
            <w:r>
              <w:rPr>
                <w:rFonts w:ascii="Arial" w:hAnsi="Arial"/>
                <w:b/>
                <w:i w:val="0"/>
                <w:color w:val="C53030"/>
                <w:sz w:val="19"/>
              </w:rPr>
              <w:t xml:space="preserve">HIGH</w:t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Quote + Product occurrence order can cross bundles or ship-to groups; fallback reuses the first master ID.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 xml:space="preserve">3. Test and validation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900"/>
        <w:gridCol w:w="5260"/>
      </w:tblGrid>
      <w:tr>
        <w:trPr>
          <w:tblHeader w:val="1"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Test / boundary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Status</w:t>
            </w:r>
          </w:p>
        </w:tc>
        <w:tc>
          <w:tcPr>
            <w:tcW w:type="dxa" w:w="5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Evidence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Focused Apex suite</w:t>
            </w:r>
          </w:p>
        </w:tc>
        <w:tc>
          <w:tcPr>
            <w:tcW w:type="dxa" w:w="1900"/>
            <w:shd w:fill="E7F5F0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0F8F74"/>
                <w:b/>
              </w:rPr>
            </w:r>
            <w:r>
              <w:rPr>
                <w:rFonts w:ascii="Arial" w:hAnsi="Arial"/>
                <w:b/>
                <w:i w:val="0"/>
                <w:color w:val="0F8F74"/>
                <w:sz w:val="19"/>
              </w:rPr>
              <w:t xml:space="preserve">PASS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7 of 7 QuoteLineTriggerHandlerTest methods passed; zero test failures.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Handler coverage</w:t>
            </w:r>
          </w:p>
        </w:tc>
        <w:tc>
          <w:tcPr>
            <w:tcW w:type="dxa" w:w="1900"/>
            <w:shd w:fill="E7F5F0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0F8F74"/>
                <w:b/>
              </w:rPr>
            </w:r>
            <w:r>
              <w:rPr>
                <w:rFonts w:ascii="Arial" w:hAnsi="Arial"/>
                <w:b/>
                <w:i w:val="0"/>
                <w:color w:val="0F8F74"/>
                <w:sz w:val="19"/>
              </w:rPr>
              <w:t xml:space="preserve">PASS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QuoteLineTriggerHandler measured 97%; this supports the bulk-structured handler implementation.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Trigger coverage</w:t>
            </w:r>
          </w:p>
        </w:tc>
        <w:tc>
          <w:tcPr>
            <w:tcW w:type="dxa" w:w="1900"/>
            <w:shd w:fill="FDEBEC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C53030"/>
                <w:b/>
              </w:rPr>
            </w:r>
            <w:r>
              <w:rPr>
                <w:rFonts w:ascii="Arial" w:hAnsi="Arial"/>
                <w:b/>
                <w:i w:val="0"/>
                <w:color w:val="C53030"/>
                <w:sz w:val="19"/>
              </w:rPr>
              <w:t xml:space="preserve">FAIL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QuoteLineTrigger measured 43.59%; Salesforce requires at least 75% for the selected trigger.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Check-only package</w:t>
            </w:r>
          </w:p>
        </w:tc>
        <w:tc>
          <w:tcPr>
            <w:tcW w:type="dxa" w:w="1900"/>
            <w:shd w:fill="FDEBEC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C53030"/>
                <w:b/>
              </w:rPr>
            </w:r>
            <w:r>
              <w:rPr>
                <w:rFonts w:ascii="Arial" w:hAnsi="Arial"/>
                <w:b/>
                <w:i w:val="0"/>
                <w:color w:val="C53030"/>
                <w:sz w:val="19"/>
              </w:rPr>
              <w:t xml:space="preserve">FAILED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0AfhG000001da33SAA: 3/3 components, 7/7 tests, but coverage gate failed; nothing deployed.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Behavior proof</w:t>
            </w:r>
          </w:p>
        </w:tc>
        <w:tc>
          <w:tcPr>
            <w:tcW w:type="dxa" w:w="1900"/>
            <w:shd w:fill="FDEBEC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C53030"/>
                <w:b/>
              </w:rPr>
            </w:r>
            <w:r>
              <w:rPr>
                <w:rFonts w:ascii="Arial" w:hAnsi="Arial"/>
                <w:b/>
                <w:i w:val="0"/>
                <w:color w:val="C53030"/>
                <w:sz w:val="19"/>
              </w:rPr>
              <w:t xml:space="preserve">MISSING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No JavaScript unit suite or live QLE scenario matrix; the second-group Apex outcome is not asserted.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 xml:space="preserve">Required target architecture and proof model</w:t>
      </w:r>
    </w:p>
    <w:p>
      <w:pPr>
        <w:spacing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 xml:space="preserve">The release-ready design should centralize the ARR field contract, declare every QCP dependency, make editability precedence explicit, correlate lineage deterministically, and prove JavaScript plus Apex behavior independently.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4054792"/>
            <wp:docPr id="2" name="Picture 2" title="SALDEV-1427 and SALDEV-1371 required release design" descr="Diagram showing a canonical field contract, ordered QLE policy, deterministic lineage key, layered tests, retained strengths, and mandatory completion ga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c3385-work-order-mod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54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Arial" w:hAnsi="Arial"/>
          <w:b w:val="0"/>
          <w:i/>
          <w:color w:val="5B6777"/>
          <w:sz w:val="18"/>
        </w:rPr>
        <w:t xml:space="preserve">Figure 2. Required data contract, lineage design, and proof layers</w:t>
      </w:r>
    </w:p>
    <w:p>
      <w:pPr>
        <w:spacing w:after="120" w:line="264" w:lineRule="auto"/>
      </w:pPr>
      <w:r>
        <w:rPr>
          <w:rFonts w:ascii="Arial" w:hAnsi="Arial"/>
          <w:b/>
          <w:i w:val="0"/>
          <w:color w:val="1F2937"/>
          <w:sz w:val="22"/>
        </w:rPr>
        <w:t xml:space="preserve">Architect interpretation: the code has a sound bulk-processing foundation, but configuration and identity semantics are part of the implementation. Passing handler tests cannot compensate for an invalid field, missing QCP dependencies, ambiguous lineage, or insufficient trigger coverage.</w:t>
      </w:r>
      <w:r>
        <w:rPr>
          <w:rFonts w:ascii="Arial" w:hAnsi="Arial"/>
          <w:b w:val="0"/>
          <w:i w:val="0"/>
          <w:color w:val="1F2937"/>
          <w:sz w:val="22"/>
        </w:rPr>
        <w:t xml:space="preserve"/>
      </w:r>
    </w:p>
    <w:p>
      <w:r>
        <w:br w:type="page"/>
      </w:r>
    </w:p>
    <w:p>
      <w:pPr>
        <w:pStyle w:val="Heading1"/>
        <w:keepNext/>
      </w:pPr>
      <w:r>
        <w:t xml:space="preserve">Required completion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2500"/>
        <w:gridCol w:w="2000"/>
        <w:gridCol w:w="4010"/>
      </w:tblGrid>
      <w:tr>
        <w:trPr>
          <w:tblHeader w:val="1"/>
        </w:trPr>
        <w:tc>
          <w:tcPr>
            <w:tcW w:type="dxa" w:w="8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Gate</w:t>
            </w:r>
          </w:p>
        </w:tc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Required action</w:t>
            </w:r>
          </w:p>
        </w:tc>
        <w:tc>
          <w:tcPr>
            <w:tcW w:type="dxa" w:w="2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Owner</w:t>
            </w:r>
          </w:p>
        </w:tc>
        <w:tc>
          <w:tcPr>
            <w:tcW w:type="dxa" w:w="40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 needed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Correct field names and QCP dependencies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CPQ Developer</w:t>
            </w:r>
          </w:p>
        </w:tc>
        <w:tc>
          <w:tcPr>
            <w:tcW w:type="dxa" w:w="4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All referenced line/group APIs exist and are declared; remove Domestic_Sponsor__c or map it correctly.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Make editability precedence explicit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CPQ Developer</w:t>
            </w:r>
          </w:p>
        </w:tc>
        <w:tc>
          <w:tcPr>
            <w:tcW w:type="dxa" w:w="4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Usage price fields are editable only where intended; tests cover first and downstream groups.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Redesign lineage correlation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Apex Developer</w:t>
            </w:r>
          </w:p>
        </w:tc>
        <w:tc>
          <w:tcPr>
            <w:tcW w:type="dxa" w:w="4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A deterministic source/group/bundle/ship-to key; no first-ID fallback; visible failure behavior.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Resolve story semantics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Product Owner</w:t>
            </w:r>
          </w:p>
        </w:tc>
        <w:tc>
          <w:tcPr>
            <w:tcW w:type="dxa" w:w="4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Signed decision for NS ID, Ship-To locking, amendment scope, and the SALDEV-1404 dependency.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Add exact automated tests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Developer / QA</w:t>
            </w:r>
          </w:p>
        </w:tc>
        <w:tc>
          <w:tcPr>
            <w:tcW w:type="dxa" w:w="4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JavaScript hook tests plus Apex assertions for every group, duplicate product, bundle, ship-to, and 200-line case.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Re-run release and QLE proof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Dev Lead / QA</w:t>
            </w:r>
          </w:p>
        </w:tc>
        <w:tc>
          <w:tcPr>
            <w:tcW w:type="dxa" w:w="4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75%+ trigger coverage, successful check-only, and named SUP/non-SUP multi-group functional read-back.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Ready-to-paste architect response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 w:val="clear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STORY COMMENT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 xml:space="preserve">Architect review completed for SALDEV-1427 and duplicate SALDEV-1371 in FlywirePartial. Decision: Changes Requested / NO-GO before QA or promotion. Strengths: both QCP scripts pass syntax checks; the with-sharing handler uses bulk Sets and Maps with queries outside loops; 7 of 7 focused tests passed; and handler coverage is 97%. Blockers: QLE_CloneLineHandler declares only NS ID and Opportunity Line ID although it writes the ARR set; QCP_HideFieldInQLE omits required line and group dependencies; Domestic_Sponsor__c is not a quote-line field; usage-rate fields are both globally read-only and ramp-editable; and lineage uses only Quote + Product, allowing cross-group, bundle, or ship-to mismatches. Exceptions are swallowed. Check-only 0AfhG000001da33SAA validated 3 of 3 components and ran 7 passing tests, but failed because trigger coverage is 43.59%, below 75%. Nothing deployed. Resolve the NS ID, Ship-To, and amendment requirements; correct dependencies and API names; redesign deterministic mapping; add JavaScript and exact Apex assertions; reach 75%+ trigger coverage; and complete the named QLE matrix before resubmission.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Evidence boundary</w:t>
      </w:r>
    </w:p>
    <w:p>
      <w:pPr>
        <w:spacing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 xml:space="preserve">Evidence: supplied story documents, verified FlywirePartial sandbox and custom scripts, retrieved Apex and field metadata, JavaScript syntax checks, focused tests, and check-only validation. No Salesforce record or metadata changes, deployment, activation, promotion, or Production action occurred.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FlywirePartial review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FlywirePartial review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FlywirePartial review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 w:before="0"/>
    </w:pPr>
    <w:rPr>
      <w:rFonts w:ascii="Arial" w:hAnsi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SALDEV-1427 and SALDEV-1371 QCP Clone Integrity Architect Review</dc:title>
  <dc:subject>Read-only Salesforce CPQ JavaScript and Apex best-practice assessment</dc:subject>
  <dc:creator>Solution Architecture Review</dc:creator>
  <cp:keywords>Salesforce, Flywire, SALDEV-1427, SALDEV-1371, CPQ, QCP, Apex, architect review</cp:keywords>
  <dc:description>Combined best-practice review derived from the established Flywire architect-review format.</dc:description>
  <cp:lastModifiedBy/>
  <cp:revision>1</cp:revision>
  <dcterms:created xsi:type="dcterms:W3CDTF">2013-12-23T23:15:00Z</dcterms:created>
  <dcterms:modified xsi:type="dcterms:W3CDTF">2026-09-04T16:01:47Z</dcterms:modified>
  <cp:category/>
</cp:coreProperties>
</file>