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ARCHITECT REVIEW</w:t>
      </w:r>
    </w:p>
    <w:p>
      <w:pPr>
        <w:pStyle w:val="Title"/>
      </w:pPr>
      <w:r>
        <w:t>SALDEV-1441</w:t>
      </w:r>
    </w:p>
    <w:p>
      <w:pPr>
        <w:pStyle w:val="Subtitle"/>
      </w:pPr>
      <w:r>
        <w:t>Update business logic to work as needed for Step up product groupings vs Non SUP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Review item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Assessment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Review date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08 September 2026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Evidence reviewed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SALDEV-1441 (1).docx: user story, requirements, design, implementation notes, acceptance criteria and comments.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Review disposition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Changes Requested — implementation clarification and test evidence required before architect sign-off.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Review boundary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Document-based assessment only. No source-code inspection, org verification, test execution, check-only validation or deployment was performed.</w:t>
            </w:r>
          </w:p>
        </w:tc>
      </w:tr>
    </w:tbl>
    <w:p>
      <w:pPr>
        <w:pStyle w:val="Heading2"/>
      </w:pPr>
      <w:r>
        <w:t>Executive assessment</w:t>
      </w:r>
    </w:p>
    <w:p>
      <w:r>
        <w:t>The described approach is directionally sound: Step-Up lines should be validated within their effective Quote Line Group, while non-Step-Up lines retain existing quote-wide validation behavior. Reusing the existing group-context helpers can keep these rules consistent across nested bundles.</w:t>
      </w:r>
    </w:p>
    <w:p>
      <w:r>
        <w:t>The supplied notes do not establish that all acceptance criteria are complete. In particular, they do not describe the one-time-product cloning change or provide executed test results. This is an evidence gap, not proof that the implementation is defective.</w:t>
      </w:r>
    </w:p>
    <w:p>
      <w:pPr>
        <w:pStyle w:val="Heading2"/>
      </w:pPr>
      <w:r>
        <w:t>What the business is asking for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Scenario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Required outcome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Step-Up pricing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Allow products to repeat across ramping groups. Evaluate required pairs and applicable duplicate restrictions within each Step-Up group.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Standard pricing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Preserve existing errors, warnings and duplicate restrictions on both grouped and ungrouped quotes.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One-time products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Do not copy one-time products, such as implementation fees, into subsequent Quote Line Groups.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/>
            </w:pPr>
            <w:r>
              <w:rPr>
                <w:sz w:val="18"/>
              </w:rPr>
              <w:t>Automatic additions</w:t>
            </w:r>
          </w:p>
        </w:tc>
        <w:tc>
          <w:tcPr>
            <w:tcW w:type="dxa" w:w="8208"/>
          </w:tcPr>
          <w:p>
            <w:pPr>
              <w:spacing w:after="80"/>
            </w:pPr>
            <w:r>
              <w:rPr>
                <w:sz w:val="18"/>
              </w:rPr>
              <w:t>Ensure applicable automatically added products remain correct after grouping and cloning.</w:t>
            </w:r>
          </w:p>
        </w:tc>
      </w:tr>
    </w:tbl>
    <w:p>
      <w:pPr>
        <w:pStyle w:val="Heading2"/>
      </w:pPr>
      <w:r>
        <w:t>Example</w:t>
      </w:r>
    </w:p>
    <w:p>
      <w:r>
        <w:t>If Group 1 contains an Amex DOM line and Group 2 contains an Amex XB line, those lines must not satisfy each other’s pairing requirement. Each Step-Up group needs its own valid pair. A valid pair in one group must not hide an error in another.</w:t>
      </w:r>
    </w:p>
    <w:p>
      <w:r>
        <w:br w:type="page"/>
      </w:r>
    </w:p>
    <w:p>
      <w:pPr>
        <w:pStyle w:val="Heading1"/>
      </w:pPr>
      <w:r>
        <w:t>Design and implementation assessment</w:t>
      </w:r>
    </w:p>
    <w:p>
      <w:r>
        <w:t>The following items are reported by the ticket author. Their deployed state and runtime behavior have not been independently verified.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2952"/>
          </w:tcPr>
          <w:p>
            <w:pPr>
              <w:spacing w:after="80"/>
            </w:pPr>
            <w:r>
              <w:rPr>
                <w:sz w:val="18"/>
              </w:rPr>
              <w:t>Component / rule</w:t>
            </w:r>
          </w:p>
        </w:tc>
        <w:tc>
          <w:tcPr>
            <w:tcW w:type="dxa" w:w="7272"/>
          </w:tcPr>
          <w:p>
            <w:pPr>
              <w:spacing w:after="80"/>
            </w:pPr>
            <w:r>
              <w:rPr>
                <w:sz w:val="18"/>
              </w:rPr>
              <w:t>Reported change and architect assessment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80"/>
            </w:pPr>
            <w:r>
              <w:rPr>
                <w:sz w:val="18"/>
              </w:rPr>
              <w:t>validateAmexPairing</w:t>
            </w:r>
          </w:p>
        </w:tc>
        <w:tc>
          <w:tcPr>
            <w:tcW w:type="dxa" w:w="7272"/>
          </w:tcPr>
          <w:p>
            <w:pPr>
              <w:spacing w:after="80"/>
            </w:pPr>
            <w:r>
              <w:rPr>
                <w:sz w:val="18"/>
              </w:rPr>
              <w:t>Reported to isolate Amex DOM/XB pairing by Step-Up group and support nested bundle lines. Confirm that the separate attribute-mismatch hard stop is also covered; pairing alone does not demonstrate attribute equality.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80"/>
            </w:pPr>
            <w:r>
              <w:rPr>
                <w:sz w:val="18"/>
              </w:rPr>
              <w:t>checkDuplicateQuoteLineUSLoanProduct</w:t>
            </w:r>
          </w:p>
        </w:tc>
        <w:tc>
          <w:tcPr>
            <w:tcW w:type="dxa" w:w="7272"/>
          </w:tcPr>
          <w:p>
            <w:pPr>
              <w:spacing w:after="80"/>
            </w:pPr>
            <w:r>
              <w:rPr>
                <w:sz w:val="18"/>
              </w:rPr>
              <w:t>Reported to check FAD pairing and duplicates by group and Ship To Account. Verify both the positive matching path and duplicate rejection within that same context.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80"/>
            </w:pPr>
            <w:r>
              <w:rPr>
                <w:sz w:val="18"/>
              </w:rPr>
              <w:t>checkPaymentAndCountryMatrixRules</w:t>
            </w:r>
          </w:p>
        </w:tc>
        <w:tc>
          <w:tcPr>
            <w:tcW w:type="dxa" w:w="7272"/>
          </w:tcPr>
          <w:p>
            <w:pPr>
              <w:spacing w:after="80"/>
            </w:pPr>
            <w:r>
              <w:rPr>
                <w:sz w:val="18"/>
              </w:rPr>
              <w:t>Reported to make CC Country and MC/Visa Credit/Debit pairing group-aware while retaining existing matching dimensions.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80"/>
            </w:pPr>
            <w:r>
              <w:rPr>
                <w:sz w:val="18"/>
              </w:rPr>
              <w:t>checkIdenticalSurchargePairRule</w:t>
            </w:r>
          </w:p>
        </w:tc>
        <w:tc>
          <w:tcPr>
            <w:tcW w:type="dxa" w:w="7272"/>
          </w:tcPr>
          <w:p>
            <w:pPr>
              <w:spacing w:after="80"/>
            </w:pPr>
            <w:r>
              <w:rPr>
                <w:sz w:val="18"/>
              </w:rPr>
              <w:t>Reported to require Surcharging Yes/No pairs in the same Step-Up group. Verify that a No line in a different group cannot satisfy the rule.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80"/>
            </w:pPr>
            <w:r>
              <w:rPr>
                <w:sz w:val="18"/>
              </w:rPr>
              <w:t>Shared helpers</w:t>
            </w:r>
          </w:p>
        </w:tc>
        <w:tc>
          <w:tcPr>
            <w:tcW w:type="dxa" w:w="7272"/>
          </w:tcPr>
          <w:p>
            <w:pPr>
              <w:spacing w:after="80"/>
            </w:pPr>
            <w:r>
              <w:rPr>
                <w:sz w:val="18"/>
              </w:rPr>
              <w:t>isStepUpLine, getGroupIdentity and getValidationContext are reportedly reused without changes. Confirm correct group classification and parent-group resolution, including unsaved or newly cloned lines.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80"/>
            </w:pPr>
            <w:r>
              <w:rPr>
                <w:sz w:val="18"/>
              </w:rPr>
              <w:t>Quote-level Boolean fields</w:t>
            </w:r>
          </w:p>
        </w:tc>
        <w:tc>
          <w:tcPr>
            <w:tcW w:type="dxa" w:w="7272"/>
          </w:tcPr>
          <w:p>
            <w:pPr>
              <w:spacing w:after="80"/>
            </w:pPr>
            <w:r>
              <w:rPr>
                <w:sz w:val="18"/>
              </w:rPr>
              <w:t>Existing Product Rule fields are reportedly retained. Verify that any invalid group keeps the applicable quote error flag set; a later valid group must not clear it.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80"/>
            </w:pPr>
            <w:r>
              <w:rPr>
                <w:sz w:val="18"/>
              </w:rPr>
              <w:t>UK/Canada auto-add rule</w:t>
            </w:r>
          </w:p>
        </w:tc>
        <w:tc>
          <w:tcPr>
            <w:tcW w:type="dxa" w:w="7272"/>
          </w:tcPr>
          <w:p>
            <w:pPr>
              <w:spacing w:after="80"/>
            </w:pPr>
            <w:r>
              <w:rPr>
                <w:sz w:val="18"/>
              </w:rPr>
              <w:t>Ticket reports removal of XB Payments (FWXB1000) applicability from Product Rule a1thG0000004EsUQAU. Verify that intended SFS behavior is preserved.</w:t>
            </w:r>
          </w:p>
        </w:tc>
      </w:tr>
    </w:tbl>
    <w:p>
      <w:pPr>
        <w:pStyle w:val="Heading2"/>
      </w:pPr>
      <w:r>
        <w:t>Explicit scope distinctions</w:t>
      </w:r>
    </w:p>
    <w:p>
      <w:r>
        <w:t>The design notes say HC Professional Services and applicable Payments XB automatic additions need no additional group adjustment because cloning supplies them. This remains a behavior to test. The two Payex automatic-add rules are described as deactivated; the story does not request their reactivation.</w:t>
      </w:r>
    </w:p>
    <w:p>
      <w:r>
        <w:t>The implementation notes state that onAfterCalculate, shared helper behavior and non-Step-Up quote-wide validation were not changed. These are author statements rather than verified regression results.</w:t>
      </w:r>
    </w:p>
    <w:p>
      <w:pPr>
        <w:pStyle w:val="Heading2"/>
      </w:pPr>
      <w:r>
        <w:t>Related work</w:t>
      </w:r>
    </w:p>
    <w:p>
      <w:r>
        <w:t>SALDEV-1417 is listed as the prerequisite for distinguishing group types. The one-time-product requirement was explicitly moved from SALDEV-1427 into SALDEV-1441 on 17 August. Confirm ownership and inclusion of that change in this story’s review evidence.</w:t>
      </w:r>
    </w:p>
    <w:p>
      <w:r>
        <w:br w:type="page"/>
      </w:r>
    </w:p>
    <w:p>
      <w:pPr>
        <w:pStyle w:val="Heading1"/>
      </w:pPr>
      <w:r>
        <w:t>Findings and required follow-up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ID / priority</w:t>
            </w:r>
          </w:p>
        </w:tc>
        <w:tc>
          <w:tcPr>
            <w:tcW w:type="dxa" w:w="4032"/>
          </w:tcPr>
          <w:p>
            <w:pPr>
              <w:spacing w:after="80"/>
            </w:pPr>
            <w:r>
              <w:rPr>
                <w:sz w:val="18"/>
              </w:rPr>
              <w:t>Finding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sz w:val="18"/>
              </w:rPr>
              <w:t>Evidence required to close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AR-01 / High</w:t>
            </w:r>
          </w:p>
        </w:tc>
        <w:tc>
          <w:tcPr>
            <w:tcW w:type="dxa" w:w="4032"/>
          </w:tcPr>
          <w:p>
            <w:pPr>
              <w:spacing w:after="80"/>
            </w:pPr>
            <w:r>
              <w:rPr>
                <w:sz w:val="18"/>
              </w:rPr>
              <w:t>One-time-product exclusion is required by acceptance criterion 1.a, but no cloning implementation is described.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sz w:val="18"/>
              </w:rPr>
              <w:t>Identify the changed cloning logic and show a one-time fee present in the first group and absent from all subsequent cloned groups.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AR-02 / High</w:t>
            </w:r>
          </w:p>
        </w:tc>
        <w:tc>
          <w:tcPr>
            <w:tcW w:type="dxa" w:w="4032"/>
          </w:tcPr>
          <w:p>
            <w:pPr>
              <w:spacing w:after="80"/>
            </w:pPr>
            <w:r>
              <w:rPr>
                <w:sz w:val="18"/>
              </w:rPr>
              <w:t>No executed acceptance or regression results are included in the supplied document.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sz w:val="18"/>
              </w:rPr>
              <w:t>Provide results for Step-Up, standard grouped and ungrouped quotes, covering each applicable rule with both valid and invalid examples.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AR-03 / Medium</w:t>
            </w:r>
          </w:p>
        </w:tc>
        <w:tc>
          <w:tcPr>
            <w:tcW w:type="dxa" w:w="4032"/>
          </w:tcPr>
          <w:p>
            <w:pPr>
              <w:spacing w:after="80"/>
            </w:pPr>
            <w:r>
              <w:rPr>
                <w:sz w:val="18"/>
              </w:rPr>
              <w:t>Amex attribute-mismatch coverage is not explicit in the implementation notes.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sz w:val="18"/>
              </w:rPr>
              <w:t>Map the attribute-mismatch hard stop to its code/field logic and provide same-group mismatch and corrected-match results.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AR-04 / Medium</w:t>
            </w:r>
          </w:p>
        </w:tc>
        <w:tc>
          <w:tcPr>
            <w:tcW w:type="dxa" w:w="4032"/>
          </w:tcPr>
          <w:p>
            <w:pPr>
              <w:spacing w:after="80"/>
            </w:pPr>
            <w:r>
              <w:rPr>
                <w:sz w:val="18"/>
              </w:rPr>
              <w:t>Group-context and quote-flag behavior are described but not demonstrated.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sz w:val="18"/>
              </w:rPr>
              <w:t>Provide a focused code diff and tests for nested bundles, newly cloned groups, any-invalid-group flag aggregation and error clearing after correction.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/>
            </w:pPr>
            <w:r>
              <w:rPr>
                <w:sz w:val="18"/>
              </w:rPr>
              <w:t>AR-05 / Medium</w:t>
            </w:r>
          </w:p>
        </w:tc>
        <w:tc>
          <w:tcPr>
            <w:tcW w:type="dxa" w:w="4032"/>
          </w:tcPr>
          <w:p>
            <w:pPr>
              <w:spacing w:after="80"/>
            </w:pPr>
            <w:r>
              <w:rPr>
                <w:sz w:val="18"/>
              </w:rPr>
              <w:t>Automatic-add behavior relies partly on cloning, and the UK/Canada configuration has changed.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sz w:val="18"/>
              </w:rPr>
              <w:t>Show expected first/subsequent group contents and confirm that removing XB Payments applicability does not remove required SFS behavior.</w:t>
            </w:r>
          </w:p>
        </w:tc>
      </w:tr>
    </w:tbl>
    <w:p>
      <w:pPr>
        <w:pStyle w:val="Heading2"/>
      </w:pPr>
      <w:r>
        <w:t>Architect recommendations for verification</w:t>
      </w:r>
    </w:p>
    <w:p>
      <w:r>
        <w:t>Use the established group identity helper consistently across all four validation methods. The requirement’s suggestion to use a group start date is not sufficient evidence of unique identity; verify that distinct groups sharing a date remain separate.</w:t>
      </w:r>
    </w:p>
    <w:p>
      <w:r>
        <w:t>For quotes containing both Step-Up and standard groups, confirm that standard lines retain their intended quote-wide context and that Step-Up lines cannot incorrectly satisfy standard validation or another Step-Up group. Treat this as an additional architecture edge-case check.</w:t>
      </w:r>
    </w:p>
    <w:p>
      <w:r>
        <w:t>When users correct an invalid pair, remove a line or recalculate, verify that the existing quote-level Boolean fields reflect the current result and do not retain stale errors.</w:t>
      </w:r>
    </w:p>
    <w:p>
      <w:pPr>
        <w:pStyle w:val="Heading2"/>
      </w:pPr>
      <w:r>
        <w:t>Recommended responsibility</w:t>
      </w:r>
    </w:p>
    <w:p>
      <w:r>
        <w:t>Developer: provide the scoped QCP/configuration diff and identify the one-time cloning change. QA: execute and record the matrix on the next page. Architect: reassess the findings against that evidence. Product owner: resolve any ambiguity about one-time product identification or mixed-group behavior.</w:t>
      </w:r>
    </w:p>
    <w:p>
      <w:r>
        <w:br w:type="page"/>
      </w:r>
    </w:p>
    <w:p>
      <w:pPr>
        <w:pStyle w:val="Heading1"/>
      </w:pPr>
      <w:r>
        <w:t>Acceptance and regression test matrix</w:t>
      </w:r>
    </w:p>
    <w:p>
      <w:r>
        <w:t>All tests below are required or recommended verification; none were executed in this review. Record the environment, quote ID, setup, expected/actual result and screenshots or equivalent evidence for each.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Test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Scenario and expected result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T01 — Amex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In Step-Up groups, split DOM/XB across groups: error remains. Add the valid pair within each group: pairing error clears. Mismatched Amex attributes still trigger the hard stop.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T02 — FAD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Require the matching DOM/XB line in the same group and Ship To Account. Reject duplicate FAD in that context. Allow valid repetitions across separate Step-Up groups.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T03 — CC Country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Locally Issued and Non-Locally Issued pairing must satisfy the existing criteria within each Step-Up group. A match from another group must not count.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T04 — MC/Visa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Credit/Debit pairing must satisfy all existing matching dimensions within each Step-Up group. Test both valid and missing pairs.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T05 — Surcharging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A Surcharging Yes line requires the matching No line in the same Step-Up group. Another group’s No line must not satisfy the rule.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T06 — One-time fees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With Allow Product Ramping checked, clone multiple groups. One-time products remain in the first group and are absent from every subsequent group; recurring products copy as intended.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T07 — Standard groups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With Allow Product Ramping unchecked, repeat all applicable rule cases. Existing quote-wide errors, warnings and duplicate restrictions remain unchanged.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T08 — No groups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Repeat applicable valid/invalid cases on an ungrouped quote. Confirm existing behavior remains unchanged.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T09 — Auto-add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Verify applicable HC and Payments XB additions and cloned contents. For UK/Canada, confirm removed FWXB1000 applicability and retained intended SFS behavior.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T10 — Edge cases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Verify nested bundles, newly cloned groups, equal start dates in distinct groups and mixed group types. An invalid group must keep the error active even when another is valid.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/>
            </w:pPr>
            <w:r>
              <w:rPr>
                <w:sz w:val="18"/>
              </w:rPr>
              <w:t>T11 — Correction</w:t>
            </w:r>
          </w:p>
        </w:tc>
        <w:tc>
          <w:tcPr>
            <w:tcW w:type="dxa" w:w="8496"/>
          </w:tcPr>
          <w:p>
            <w:pPr>
              <w:spacing w:after="80"/>
            </w:pPr>
            <w:r>
              <w:rPr>
                <w:sz w:val="18"/>
              </w:rPr>
              <w:t>Correct or delete invalid lines and recalculate. Errors clear only when all applicable contexts are valid; no stale Boolean flags remain.</w:t>
            </w:r>
          </w:p>
        </w:tc>
      </w:tr>
    </w:tbl>
    <w:p>
      <w:pPr>
        <w:pStyle w:val="Heading2"/>
      </w:pPr>
      <w:r>
        <w:t>Ready-to-paste architect response</w:t>
      </w:r>
    </w:p>
    <w:p>
      <w:r>
        <w:t>Document-based architect review completed for SALDEV-1441. The proposed group-aware QCP approach aligns with the story intent, but sign-off remains pending. Please identify the one-time-product cloning change, confirm Amex attribute-mismatch coverage, and attach the scoped implementation diff plus acceptance/regression results for Step-Up, standard grouped and ungrouped quotes. Include nested-group resolution, quote-level error aggregation and auto-add behavior. No deployment or live-org validation was performed as part of this review.</w:t>
      </w:r>
    </w:p>
    <w:p>
      <w:pPr>
        <w:pStyle w:val="Caption"/>
      </w:pPr>
      <w:r>
        <w:t>Source: SALDEV-1441 (1).docx supplied by the requester. Review statements about implementation are based solely on that attachment.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SALDEV-1441  |  Document-based review  |  08 September 2026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FLYWIRE  /  SALESFORCE CPQ                                      ARCHITECT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SALDEV-1441 Architect Review</dc:title>
  <dc:subject>Document-based architecture assessment; no deployment</dc:subject>
  <dc:creator>Architecture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