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b/>
          <w:i w:val="0"/>
          <w:color w:val="2E74B5"/>
          <w:sz w:val="20"/>
        </w:rPr>
        <w:t>PR REVIEW</w:t>
      </w:r>
    </w:p>
    <w:p>
      <w:pPr>
        <w:spacing w:after="80"/>
      </w:pPr>
      <w:r>
        <w:rPr>
          <w:rFonts w:ascii="Arial" w:hAnsi="Arial"/>
          <w:b/>
          <w:i w:val="0"/>
          <w:color w:val="0B2545"/>
          <w:sz w:val="50"/>
        </w:rPr>
        <w:t>SCC-4486 | Skip Book Appointment &amp; Drop Tasks</w:t>
      </w:r>
    </w:p>
    <w:p>
      <w:pPr>
        <w:spacing w:after="320"/>
      </w:pPr>
      <w:r>
        <w:rPr>
          <w:rFonts w:ascii="Arial" w:hAnsi="Arial"/>
          <w:b w:val="0"/>
          <w:i w:val="0"/>
          <w:color w:val="5B6777"/>
          <w:sz w:val="26"/>
        </w:rPr>
        <w:t>Great Plains | OmniStudio orchestration peer review</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AF2FA"/>
          </w:tcPr>
          <w:p>
            <w:pPr>
              <w:spacing w:before="0" w:after="0" w:line="252" w:lineRule="auto"/>
              <w:jc w:val="left"/>
            </w:pPr>
            <w:r/>
            <w:r>
              <w:rPr>
                <w:rFonts w:ascii="Arial" w:hAnsi="Arial"/>
                <w:b/>
                <w:i w:val="0"/>
                <w:color w:val="0B2545"/>
                <w:sz w:val="19"/>
              </w:rPr>
              <w:t>Review type</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b w:val="0"/>
                <w:i w:val="0"/>
                <w:color w:val="1F2937"/>
                <w:sz w:val="19"/>
              </w:rPr>
              <w:t>PR / peer review only - no IT or UAT execution</w:t>
            </w:r>
          </w:p>
        </w:tc>
        <w:trPr>
          <w:tblHeader/>
        </w:trPr>
      </w:tr>
      <w:tr>
        <w:tc>
          <w:tcPr>
            <w:tcW w:type="dxa" w:w="1900"/>
            <w:tcMar>
              <w:top w:w="80" w:type="dxa"/>
              <w:start w:w="120" w:type="dxa"/>
              <w:bottom w:w="80" w:type="dxa"/>
              <w:end w:w="120" w:type="dxa"/>
            </w:tcMar>
            <w:vAlign w:val="center"/>
            <w:shd w:fill="EAF2FA"/>
          </w:tcPr>
          <w:p>
            <w:pPr>
              <w:spacing w:before="0" w:after="0" w:line="252" w:lineRule="auto"/>
              <w:jc w:val="left"/>
            </w:pPr>
            <w:r/>
            <w:r>
              <w:rPr>
                <w:rFonts w:ascii="Arial" w:hAnsi="Arial"/>
                <w:b/>
                <w:i w:val="0"/>
                <w:color w:val="0B2545"/>
                <w:sz w:val="19"/>
              </w:rPr>
              <w:t>Scope</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b w:val="0"/>
                <w:i w:val="0"/>
                <w:color w:val="1F2937"/>
                <w:sz w:val="19"/>
              </w:rPr>
              <w:t>5 OrchestrationItemDefinition DataPacks | 9 named files</w:t>
            </w:r>
          </w:p>
        </w:tc>
      </w:tr>
      <w:tr>
        <w:tc>
          <w:tcPr>
            <w:tcW w:type="dxa" w:w="1900"/>
            <w:tcMar>
              <w:top w:w="80" w:type="dxa"/>
              <w:start w:w="120" w:type="dxa"/>
              <w:bottom w:w="80" w:type="dxa"/>
              <w:end w:w="120" w:type="dxa"/>
            </w:tcMar>
            <w:vAlign w:val="center"/>
            <w:shd w:fill="EAF2FA"/>
          </w:tcPr>
          <w:p>
            <w:pPr>
              <w:spacing w:before="0" w:after="0" w:line="252" w:lineRule="auto"/>
              <w:jc w:val="left"/>
            </w:pPr>
            <w:r/>
            <w:r>
              <w:rPr>
                <w:rFonts w:ascii="Arial" w:hAnsi="Arial"/>
                <w:b/>
                <w:i w:val="0"/>
                <w:color w:val="0B2545"/>
                <w:sz w:val="19"/>
              </w:rPr>
              <w:t>Source evidence</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b w:val="0"/>
                <w:i w:val="0"/>
                <w:color w:val="1F2937"/>
                <w:sz w:val="19"/>
              </w:rPr>
              <w:t>GreatPlainsMerge read-only SOQL | Vlocity CMT 900.650.3.1</w:t>
            </w:r>
          </w:p>
        </w:tc>
      </w:tr>
      <w:tr>
        <w:tc>
          <w:tcPr>
            <w:tcW w:type="dxa" w:w="1900"/>
            <w:tcMar>
              <w:top w:w="80" w:type="dxa"/>
              <w:start w:w="120" w:type="dxa"/>
              <w:bottom w:w="80" w:type="dxa"/>
              <w:end w:w="120" w:type="dxa"/>
            </w:tcMar>
            <w:vAlign w:val="center"/>
            <w:shd w:fill="EAF2FA"/>
          </w:tcPr>
          <w:p>
            <w:pPr>
              <w:spacing w:before="0" w:after="0" w:line="252" w:lineRule="auto"/>
              <w:jc w:val="left"/>
            </w:pPr>
            <w:r/>
            <w:r>
              <w:rPr>
                <w:rFonts w:ascii="Arial" w:hAnsi="Arial"/>
                <w:b/>
                <w:i w:val="0"/>
                <w:color w:val="0B2545"/>
                <w:sz w:val="19"/>
              </w:rPr>
              <w:t>Decision</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b w:val="0"/>
                <w:i w:val="0"/>
                <w:color w:val="1F2937"/>
                <w:sz w:val="19"/>
              </w:rPr>
              <w:t>Changes Requested - PR diff and condition evidence required</w:t>
            </w:r>
          </w:p>
        </w:tc>
      </w:tr>
      <w:tr>
        <w:tc>
          <w:tcPr>
            <w:tcW w:type="dxa" w:w="1900"/>
            <w:tcMar>
              <w:top w:w="80" w:type="dxa"/>
              <w:start w:w="120" w:type="dxa"/>
              <w:bottom w:w="80" w:type="dxa"/>
              <w:end w:w="120" w:type="dxa"/>
            </w:tcMar>
            <w:vAlign w:val="center"/>
            <w:shd w:fill="EAF2FA"/>
          </w:tcPr>
          <w:p>
            <w:pPr>
              <w:spacing w:before="0" w:after="0" w:line="252" w:lineRule="auto"/>
              <w:jc w:val="left"/>
            </w:pPr>
            <w:r/>
            <w:r>
              <w:rPr>
                <w:rFonts w:ascii="Arial" w:hAnsi="Arial"/>
                <w:b/>
                <w:i w:val="0"/>
                <w:color w:val="0B2545"/>
                <w:sz w:val="19"/>
              </w:rPr>
              <w:t>Boundary</w:t>
            </w:r>
          </w:p>
        </w:tc>
        <w:tc>
          <w:tcPr>
            <w:tcW w:type="dxa" w:w="7460"/>
            <w:tcMar>
              <w:top w:w="80" w:type="dxa"/>
              <w:start w:w="120" w:type="dxa"/>
              <w:bottom w:w="80" w:type="dxa"/>
              <w:end w:w="120" w:type="dxa"/>
            </w:tcMar>
            <w:vAlign w:val="center"/>
          </w:tcPr>
          <w:p>
            <w:pPr>
              <w:spacing w:before="0" w:after="0" w:line="252" w:lineRule="auto"/>
              <w:jc w:val="left"/>
            </w:pPr>
            <w:r/>
            <w:r>
              <w:rPr>
                <w:rFonts w:ascii="Arial" w:hAnsi="Arial"/>
                <w:b w:val="0"/>
                <w:i w:val="0"/>
                <w:color w:val="1F2937"/>
                <w:sz w:val="19"/>
              </w:rPr>
              <w:t>No PR approval/comment, deployment, activation, record write, or org metadata change</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pPr>
              <w:spacing w:after="40"/>
            </w:pPr>
            <w:r>
              <w:rPr>
                <w:rFonts w:ascii="Arial" w:hAnsi="Arial"/>
                <w:b/>
                <w:i w:val="0"/>
                <w:color w:val="C53030"/>
                <w:sz w:val="18"/>
              </w:rPr>
              <w:t>PR DECISION</w:t>
            </w:r>
          </w:p>
          <w:p>
            <w:pPr>
              <w:spacing w:after="0" w:line="259" w:lineRule="auto"/>
            </w:pPr>
            <w:r>
              <w:rPr>
                <w:rFonts w:ascii="Arial" w:hAnsi="Arial"/>
                <w:b/>
                <w:i w:val="0"/>
                <w:color w:val="0B2545"/>
                <w:sz w:val="22"/>
              </w:rPr>
              <w:t>Changes Requested. The nine PR files and diff are unavailable, and the story does not define the authoritative MDU Tenant discriminator. Do not approve until the additive condition logic and dependency preservation are visible in the PR.</w:t>
            </w:r>
          </w:p>
        </w:tc>
        <w:trPr>
          <w:tblHeader/>
        </w:trPr>
      </w:tr>
    </w:tbl>
    <w:p>
      <w:pPr>
        <w:spacing w:after="20"/>
      </w:pPr>
    </w:p>
    <w:p>
      <w:pPr>
        <w:pStyle w:val="Heading1"/>
        <w:keepNext/>
      </w:pPr>
      <w:r>
        <w:t>Acceptance and PR outcome</w:t>
      </w:r>
    </w:p>
    <w:tbl>
      <w:tblPr>
        <w:tblStyle w:val="TableGrid"/>
        <w:tblW w:type="dxa" w:w="9360"/>
        <w:jc w:val="left"/>
        <w:tblLayout w:type="fixed"/>
        <w:tblLook w:firstColumn="1" w:firstRow="1" w:lastColumn="0" w:lastRow="0" w:noHBand="0" w:noVBand="1" w:val="04A0"/>
        <w:tblInd w:w="120" w:type="dxa"/>
      </w:tblPr>
      <w:tblGrid>
        <w:gridCol w:w="500"/>
        <w:gridCol w:w="2200"/>
        <w:gridCol w:w="1450"/>
        <w:gridCol w:w="5210"/>
      </w:tblGrid>
      <w:tr>
        <w:trPr>
          <w:tblHeader w:val="true"/>
        </w:trPr>
        <w:tc>
          <w:tcPr>
            <w:tcW w:type="dxa" w:w="5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w:t>
            </w:r>
          </w:p>
        </w:tc>
        <w:tc>
          <w:tcPr>
            <w:tcW w:type="dxa" w:w="22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Review scope</w:t>
            </w:r>
          </w:p>
        </w:tc>
        <w:tc>
          <w:tcPr>
            <w:tcW w:type="dxa" w:w="145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Result</w:t>
            </w:r>
          </w:p>
        </w:tc>
        <w:tc>
          <w:tcPr>
            <w:tcW w:type="dxa" w:w="521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Evidence</w:t>
            </w:r>
          </w:p>
        </w:tc>
      </w:tr>
      <w:tr>
        <w:tc>
          <w:tcPr>
            <w:tcW w:type="dxa" w:w="500"/>
            <w:tcMar>
              <w:top w:w="80" w:type="dxa"/>
              <w:start w:w="120" w:type="dxa"/>
              <w:bottom w:w="80" w:type="dxa"/>
              <w:end w:w="120" w:type="dxa"/>
            </w:tcMar>
          </w:tcPr>
          <w:p>
            <w:pPr>
              <w:spacing w:before="0" w:after="0" w:line="252" w:lineRule="auto"/>
              <w:jc w:val="left"/>
            </w:pPr>
            <w:r/>
            <w:r>
              <w:rPr>
                <w:rFonts w:ascii="Arial" w:hAnsi="Arial"/>
                <w:b w:val="0"/>
                <w:i w:val="0"/>
                <w:color w:val="1F2937"/>
                <w:sz w:val="18"/>
              </w:rPr>
              <w:t>1</w:t>
            </w:r>
          </w:p>
        </w:tc>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Five named items</w:t>
            </w:r>
          </w:p>
        </w:tc>
        <w:tc>
          <w:tcPr>
            <w:tcW w:type="dxa" w:w="145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Partial</w:t>
            </w:r>
          </w:p>
        </w:tc>
        <w:tc>
          <w:tcPr>
            <w:tcW w:type="dxa" w:w="5210"/>
            <w:tcMar>
              <w:top w:w="80" w:type="dxa"/>
              <w:start w:w="120" w:type="dxa"/>
              <w:bottom w:w="80" w:type="dxa"/>
              <w:end w:w="120" w:type="dxa"/>
            </w:tcMar>
          </w:tcPr>
          <w:p>
            <w:pPr>
              <w:spacing w:before="0" w:after="0" w:line="252" w:lineRule="auto"/>
              <w:jc w:val="left"/>
            </w:pPr>
            <w:r/>
            <w:r>
              <w:rPr>
                <w:rFonts w:ascii="Arial" w:hAnsi="Arial"/>
                <w:b w:val="0"/>
                <w:i w:val="0"/>
                <w:color w:val="1F2937"/>
                <w:sz w:val="18"/>
              </w:rPr>
              <w:t>All five exist as ManualTask definitions in the Internet Plan; the PR payload itself was not available.</w:t>
            </w:r>
          </w:p>
        </w:tc>
      </w:tr>
      <w:tr>
        <w:tc>
          <w:tcPr>
            <w:tcW w:type="dxa" w:w="500"/>
            <w:tcMar>
              <w:top w:w="80" w:type="dxa"/>
              <w:start w:w="120" w:type="dxa"/>
              <w:bottom w:w="80" w:type="dxa"/>
              <w:end w:w="120" w:type="dxa"/>
            </w:tcMar>
          </w:tcPr>
          <w:p>
            <w:pPr>
              <w:spacing w:before="0" w:after="0" w:line="252" w:lineRule="auto"/>
              <w:jc w:val="left"/>
            </w:pPr>
            <w:r/>
            <w:r>
              <w:rPr>
                <w:rFonts w:ascii="Arial" w:hAnsi="Arial"/>
                <w:b w:val="0"/>
                <w:i w:val="0"/>
                <w:color w:val="1F2937"/>
                <w:sz w:val="18"/>
              </w:rPr>
              <w:t>2</w:t>
            </w:r>
          </w:p>
        </w:tc>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MDU Tenant signal</w:t>
            </w:r>
          </w:p>
        </w:tc>
        <w:tc>
          <w:tcPr>
            <w:tcW w:type="dxa" w:w="1450"/>
            <w:shd w:fill="FDECEC"/>
            <w:tcMar>
              <w:top w:w="80" w:type="dxa"/>
              <w:start w:w="120" w:type="dxa"/>
              <w:bottom w:w="80" w:type="dxa"/>
              <w:end w:w="120" w:type="dxa"/>
            </w:tcMar>
          </w:tcPr>
          <w:p>
            <w:pPr>
              <w:spacing w:before="0" w:after="0" w:line="252" w:lineRule="auto"/>
              <w:jc w:val="center"/>
            </w:pPr>
            <w:r/>
            <w:r>
              <w:rPr>
                <w:rFonts w:ascii="Arial" w:hAnsi="Arial"/>
                <w:b/>
                <w:i w:val="0"/>
                <w:color w:val="C53030"/>
                <w:sz w:val="19"/>
              </w:rPr>
              <w:t>Fail</w:t>
            </w:r>
          </w:p>
        </w:tc>
        <w:tc>
          <w:tcPr>
            <w:tcW w:type="dxa" w:w="5210"/>
            <w:tcMar>
              <w:top w:w="80" w:type="dxa"/>
              <w:start w:w="120" w:type="dxa"/>
              <w:bottom w:w="80" w:type="dxa"/>
              <w:end w:w="120" w:type="dxa"/>
            </w:tcMar>
          </w:tcPr>
          <w:p>
            <w:pPr>
              <w:spacing w:before="0" w:after="0" w:line="252" w:lineRule="auto"/>
              <w:jc w:val="left"/>
            </w:pPr>
            <w:r/>
            <w:r>
              <w:rPr>
                <w:rFonts w:ascii="Arial" w:hAnsi="Arial"/>
                <w:b w:val="0"/>
                <w:i w:val="0"/>
                <w:color w:val="1F2937"/>
                <w:sz w:val="18"/>
              </w:rPr>
              <w:t>Order has nullable MDU identifier fields, but the story and available evidence do not identify which field/value proves tenant status.</w:t>
            </w:r>
          </w:p>
        </w:tc>
      </w:tr>
      <w:tr>
        <w:tc>
          <w:tcPr>
            <w:tcW w:type="dxa" w:w="500"/>
            <w:tcMar>
              <w:top w:w="80" w:type="dxa"/>
              <w:start w:w="120" w:type="dxa"/>
              <w:bottom w:w="80" w:type="dxa"/>
              <w:end w:w="120" w:type="dxa"/>
            </w:tcMar>
          </w:tcPr>
          <w:p>
            <w:pPr>
              <w:spacing w:before="0" w:after="0" w:line="252" w:lineRule="auto"/>
              <w:jc w:val="left"/>
            </w:pPr>
            <w:r/>
            <w:r>
              <w:rPr>
                <w:rFonts w:ascii="Arial" w:hAnsi="Arial"/>
                <w:b w:val="0"/>
                <w:i w:val="0"/>
                <w:color w:val="1F2937"/>
                <w:sz w:val="18"/>
              </w:rPr>
              <w:t>3</w:t>
            </w:r>
          </w:p>
        </w:tc>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Automatic Skipped state</w:t>
            </w:r>
          </w:p>
        </w:tc>
        <w:tc>
          <w:tcPr>
            <w:tcW w:type="dxa" w:w="145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Design fit</w:t>
            </w:r>
          </w:p>
        </w:tc>
        <w:tc>
          <w:tcPr>
            <w:tcW w:type="dxa" w:w="5210"/>
            <w:tcMar>
              <w:top w:w="80" w:type="dxa"/>
              <w:start w:w="120" w:type="dxa"/>
              <w:bottom w:w="80" w:type="dxa"/>
              <w:end w:w="120" w:type="dxa"/>
            </w:tcMar>
          </w:tcPr>
          <w:p>
            <w:pPr>
              <w:spacing w:before="0" w:after="0" w:line="252" w:lineRule="auto"/>
              <w:jc w:val="left"/>
            </w:pPr>
            <w:r/>
            <w:r>
              <w:rPr>
                <w:rFonts w:ascii="Arial" w:hAnsi="Arial"/>
                <w:b w:val="0"/>
                <w:i w:val="0"/>
                <w:color w:val="1F2937"/>
                <w:sz w:val="18"/>
              </w:rPr>
              <w:t>Salesforce skips an item when its execution condition evaluates false; the PR must therefore exclude MDU Tenants, not positively select them.</w:t>
            </w:r>
          </w:p>
        </w:tc>
      </w:tr>
      <w:tr>
        <w:tc>
          <w:tcPr>
            <w:tcW w:type="dxa" w:w="500"/>
            <w:tcMar>
              <w:top w:w="80" w:type="dxa"/>
              <w:start w:w="120" w:type="dxa"/>
              <w:bottom w:w="80" w:type="dxa"/>
              <w:end w:w="120" w:type="dxa"/>
            </w:tcMar>
          </w:tcPr>
          <w:p>
            <w:pPr>
              <w:spacing w:before="0" w:after="0" w:line="252" w:lineRule="auto"/>
              <w:jc w:val="left"/>
            </w:pPr>
            <w:r/>
            <w:r>
              <w:rPr>
                <w:rFonts w:ascii="Arial" w:hAnsi="Arial"/>
                <w:b w:val="0"/>
                <w:i w:val="0"/>
                <w:color w:val="1F2937"/>
                <w:sz w:val="18"/>
              </w:rPr>
              <w:t>4</w:t>
            </w:r>
          </w:p>
        </w:tc>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Existing behavior</w:t>
            </w:r>
          </w:p>
        </w:tc>
        <w:tc>
          <w:tcPr>
            <w:tcW w:type="dxa" w:w="145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Unverified</w:t>
            </w:r>
          </w:p>
        </w:tc>
        <w:tc>
          <w:tcPr>
            <w:tcW w:type="dxa" w:w="5210"/>
            <w:tcMar>
              <w:top w:w="80" w:type="dxa"/>
              <w:start w:w="120" w:type="dxa"/>
              <w:bottom w:w="80" w:type="dxa"/>
              <w:end w:w="120" w:type="dxa"/>
            </w:tcMar>
          </w:tcPr>
          <w:p>
            <w:pPr>
              <w:spacing w:before="0" w:after="0" w:line="252" w:lineRule="auto"/>
              <w:jc w:val="left"/>
            </w:pPr>
            <w:r/>
            <w:r>
              <w:rPr>
                <w:rFonts w:ascii="Arial" w:hAnsi="Arial"/>
                <w:b w:val="0"/>
                <w:i w:val="0"/>
                <w:color w:val="1F2937"/>
                <w:sz w:val="18"/>
              </w:rPr>
              <w:t>Current conditions contain appointment, fiber method, facility type, and product gates. The PR must add to them rather than replace them.</w:t>
            </w:r>
          </w:p>
        </w:tc>
      </w:tr>
      <w:tr>
        <w:tc>
          <w:tcPr>
            <w:tcW w:type="dxa" w:w="500"/>
            <w:tcMar>
              <w:top w:w="80" w:type="dxa"/>
              <w:start w:w="120" w:type="dxa"/>
              <w:bottom w:w="80" w:type="dxa"/>
              <w:end w:w="120" w:type="dxa"/>
            </w:tcMar>
          </w:tcPr>
          <w:p>
            <w:pPr>
              <w:spacing w:before="0" w:after="0" w:line="252" w:lineRule="auto"/>
              <w:jc w:val="left"/>
            </w:pPr>
            <w:r/>
            <w:r>
              <w:rPr>
                <w:rFonts w:ascii="Arial" w:hAnsi="Arial"/>
                <w:b w:val="0"/>
                <w:i w:val="0"/>
                <w:color w:val="1F2937"/>
                <w:sz w:val="18"/>
              </w:rPr>
              <w:t>5</w:t>
            </w:r>
          </w:p>
        </w:tc>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Downstream continuation</w:t>
            </w:r>
          </w:p>
        </w:tc>
        <w:tc>
          <w:tcPr>
            <w:tcW w:type="dxa" w:w="145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Unverified</w:t>
            </w:r>
          </w:p>
        </w:tc>
        <w:tc>
          <w:tcPr>
            <w:tcW w:type="dxa" w:w="5210"/>
            <w:tcMar>
              <w:top w:w="80" w:type="dxa"/>
              <w:start w:w="120" w:type="dxa"/>
              <w:bottom w:w="80" w:type="dxa"/>
              <w:end w:w="120" w:type="dxa"/>
            </w:tcMar>
          </w:tcPr>
          <w:p>
            <w:pPr>
              <w:spacing w:before="0" w:after="0" w:line="252" w:lineRule="auto"/>
              <w:jc w:val="left"/>
            </w:pPr>
            <w:r/>
            <w:r>
              <w:rPr>
                <w:rFonts w:ascii="Arial" w:hAnsi="Arial"/>
                <w:b w:val="0"/>
                <w:i w:val="0"/>
                <w:color w:val="1F2937"/>
                <w:sz w:val="18"/>
              </w:rPr>
              <w:t>Skip Branch is currently false, but ParentKeys and dependency payload changes cannot be reviewed without the PR files.</w:t>
            </w:r>
          </w:p>
        </w:tc>
      </w:tr>
    </w:tbl>
    <w:p>
      <w:pPr>
        <w:spacing w:after="20"/>
      </w:pPr>
    </w:p>
    <w:p>
      <w:r>
        <w:br w:type="page"/>
      </w:r>
    </w:p>
    <w:p>
      <w:pPr>
        <w:pStyle w:val="Heading1"/>
        <w:keepNext/>
      </w:pPr>
      <w:r>
        <w:t>Condition and dependency design</w:t>
      </w:r>
    </w:p>
    <w:p>
      <w:pPr>
        <w:spacing w:after="120" w:line="264" w:lineRule="auto"/>
      </w:pPr>
      <w:r>
        <w:rPr>
          <w:rFonts w:ascii="Arial" w:hAnsi="Arial"/>
          <w:b w:val="0"/>
          <w:i w:val="0"/>
          <w:color w:val="1F2937"/>
          <w:sz w:val="22"/>
        </w:rPr>
        <w:t>The safe implementation preserves every existing execution condition and adds one explicit non-MDU gate. A false result for an MDU Tenant produces the required Skipped state while downstream work continues only if Skip Branch remains false.</w:t>
      </w:r>
    </w:p>
    <w:p>
      <w:pPr>
        <w:keepNext/>
        <w:jc w:val="center"/>
      </w:pPr>
      <w:r>
        <w:drawing>
          <wp:inline xmlns:a="http://schemas.openxmlformats.org/drawingml/2006/main" xmlns:pic="http://schemas.openxmlformats.org/drawingml/2006/picture">
            <wp:extent cx="5897880" cy="3686175"/>
            <wp:docPr id="1" name="Picture 1" title="Figure 1. SCC-4486 PR condition and dependency path" descr="Diagram showing the unresolved tenant discriminator, additive condition merge, expected skipped state, and downstream dependency continuation."/>
            <wp:cNvGraphicFramePr>
              <a:graphicFrameLocks noChangeAspect="1"/>
            </wp:cNvGraphicFramePr>
            <a:graphic>
              <a:graphicData uri="http://schemas.openxmlformats.org/drawingml/2006/picture">
                <pic:pic>
                  <pic:nvPicPr>
                    <pic:cNvPr id="0" name="scc4486-pr-condition-path.png"/>
                    <pic:cNvPicPr/>
                  </pic:nvPicPr>
                  <pic:blipFill>
                    <a:blip r:embed="rId17"/>
                    <a:stretch>
                      <a:fillRect/>
                    </a:stretch>
                  </pic:blipFill>
                  <pic:spPr>
                    <a:xfrm>
                      <a:off x="0" y="0"/>
                      <a:ext cx="5897880" cy="3686175"/>
                    </a:xfrm>
                    <a:prstGeom prst="rect"/>
                  </pic:spPr>
                </pic:pic>
              </a:graphicData>
            </a:graphic>
          </wp:inline>
        </w:drawing>
      </w:r>
    </w:p>
    <w:p>
      <w:pPr>
        <w:keepNext/>
        <w:spacing w:before="40" w:after="160"/>
        <w:jc w:val="center"/>
      </w:pPr>
      <w:r>
        <w:rPr>
          <w:rFonts w:ascii="Arial" w:hAnsi="Arial"/>
          <w:b w:val="0"/>
          <w:i/>
          <w:color w:val="5B6777"/>
          <w:sz w:val="18"/>
        </w:rPr>
        <w:t>Figure 1. SCC-4486 PR condition and dependency path</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A"/>
          </w:tcPr>
          <w:p>
            <w:pPr>
              <w:spacing w:after="40"/>
            </w:pPr>
            <w:r>
              <w:rPr>
                <w:rFonts w:ascii="Arial" w:hAnsi="Arial"/>
                <w:b/>
                <w:i w:val="0"/>
                <w:color w:val="2E74B5"/>
                <w:sz w:val="18"/>
              </w:rPr>
              <w:t>LOGIC REQUIREMENT</w:t>
            </w:r>
          </w:p>
          <w:p>
            <w:pPr>
              <w:spacing w:after="0" w:line="259" w:lineRule="auto"/>
            </w:pPr>
            <w:r>
              <w:rPr>
                <w:rFonts w:ascii="Arial" w:hAnsi="Arial"/>
                <w:b/>
                <w:i w:val="0"/>
                <w:color w:val="0B2545"/>
                <w:sz w:val="22"/>
              </w:rPr>
              <w:t>Required pattern: ExistingCondition AND NOT(IsMDUTenant). Do not replace the existing condition, invert the result, or enable Skip Branch.</w:t>
            </w:r>
          </w:p>
        </w:tc>
        <w:trPr>
          <w:tblHeader/>
        </w:trPr>
      </w:tr>
    </w:tbl>
    <w:p>
      <w:pPr>
        <w:spacing w:after="20"/>
      </w:pPr>
    </w:p>
    <w:p>
      <w:r>
        <w:br w:type="page"/>
      </w:r>
    </w:p>
    <w:p>
      <w:pPr>
        <w:pStyle w:val="Heading1"/>
        <w:keepNext/>
      </w:pPr>
      <w:r>
        <w:t>PR findings and required modifications</w:t>
      </w:r>
    </w:p>
    <w:tbl>
      <w:tblPr>
        <w:tblStyle w:val="TableGrid"/>
        <w:tblW w:type="dxa" w:w="9360"/>
        <w:jc w:val="left"/>
        <w:tblLayout w:type="fixed"/>
        <w:tblLook w:firstColumn="1" w:firstRow="1" w:lastColumn="0" w:lastRow="0" w:noHBand="0" w:noVBand="1" w:val="04A0"/>
        <w:tblInd w:w="120" w:type="dxa"/>
      </w:tblPr>
      <w:tblGrid>
        <w:gridCol w:w="1300"/>
        <w:gridCol w:w="2700"/>
        <w:gridCol w:w="5360"/>
      </w:tblGrid>
      <w:tr>
        <w:trPr>
          <w:tblHeader w:val="true"/>
        </w:trPr>
        <w:tc>
          <w:tcPr>
            <w:tcW w:type="dxa" w:w="13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Severity</w:t>
            </w:r>
          </w:p>
        </w:tc>
        <w:tc>
          <w:tcPr>
            <w:tcW w:type="dxa" w:w="27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Finding</w:t>
            </w:r>
          </w:p>
        </w:tc>
        <w:tc>
          <w:tcPr>
            <w:tcW w:type="dxa" w:w="536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Required PR change / evidence</w:t>
            </w:r>
          </w:p>
        </w:tc>
      </w:tr>
      <w:tr>
        <w:tc>
          <w:tcPr>
            <w:tcW w:type="dxa" w:w="130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High</w:t>
            </w:r>
          </w:p>
        </w:tc>
        <w:tc>
          <w:tcPr>
            <w:tcW w:type="dxa" w:w="2700"/>
            <w:tcMar>
              <w:top w:w="80" w:type="dxa"/>
              <w:start w:w="120" w:type="dxa"/>
              <w:bottom w:w="80" w:type="dxa"/>
              <w:end w:w="120" w:type="dxa"/>
            </w:tcMar>
          </w:tcPr>
          <w:p>
            <w:pPr>
              <w:spacing w:before="0" w:after="0" w:line="252" w:lineRule="auto"/>
              <w:jc w:val="left"/>
            </w:pPr>
            <w:r/>
            <w:r>
              <w:rPr>
                <w:rFonts w:ascii="Arial" w:hAnsi="Arial"/>
                <w:b w:val="0"/>
                <w:i w:val="0"/>
                <w:color w:val="1F2937"/>
                <w:sz w:val="18"/>
              </w:rPr>
              <w:t>PR diff unavailable</w:t>
            </w:r>
          </w:p>
        </w:tc>
        <w:tc>
          <w:tcPr>
            <w:tcW w:type="dxa" w:w="5360"/>
            <w:tcMar>
              <w:top w:w="80" w:type="dxa"/>
              <w:start w:w="120" w:type="dxa"/>
              <w:bottom w:w="80" w:type="dxa"/>
              <w:end w:w="120" w:type="dxa"/>
            </w:tcMar>
          </w:tcPr>
          <w:p>
            <w:pPr>
              <w:spacing w:before="0" w:after="0" w:line="252" w:lineRule="auto"/>
              <w:jc w:val="left"/>
            </w:pPr>
            <w:r/>
            <w:r>
              <w:rPr>
                <w:rFonts w:ascii="Arial" w:hAnsi="Arial"/>
                <w:b w:val="0"/>
                <w:i w:val="0"/>
                <w:color w:val="1F2937"/>
                <w:sz w:val="18"/>
              </w:rPr>
              <w:t>Provide the PR URL/diff and all five DataPack.json plus four ParentKeys.json files. Approval cannot be evidence-based without them.</w:t>
            </w:r>
          </w:p>
        </w:tc>
      </w:tr>
      <w:tr>
        <w:tc>
          <w:tcPr>
            <w:tcW w:type="dxa" w:w="130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High</w:t>
            </w:r>
          </w:p>
        </w:tc>
        <w:tc>
          <w:tcPr>
            <w:tcW w:type="dxa" w:w="2700"/>
            <w:tcMar>
              <w:top w:w="80" w:type="dxa"/>
              <w:start w:w="120" w:type="dxa"/>
              <w:bottom w:w="80" w:type="dxa"/>
              <w:end w:w="120" w:type="dxa"/>
            </w:tcMar>
          </w:tcPr>
          <w:p>
            <w:pPr>
              <w:spacing w:before="0" w:after="0" w:line="252" w:lineRule="auto"/>
              <w:jc w:val="left"/>
            </w:pPr>
            <w:r/>
            <w:r>
              <w:rPr>
                <w:rFonts w:ascii="Arial" w:hAnsi="Arial"/>
                <w:b w:val="0"/>
                <w:i w:val="0"/>
                <w:color w:val="1F2937"/>
                <w:sz w:val="18"/>
              </w:rPr>
              <w:t>Tenant discriminator unresolved</w:t>
            </w:r>
          </w:p>
        </w:tc>
        <w:tc>
          <w:tcPr>
            <w:tcW w:type="dxa" w:w="5360"/>
            <w:tcMar>
              <w:top w:w="80" w:type="dxa"/>
              <w:start w:w="120" w:type="dxa"/>
              <w:bottom w:w="80" w:type="dxa"/>
              <w:end w:w="120" w:type="dxa"/>
            </w:tcMar>
          </w:tcPr>
          <w:p>
            <w:pPr>
              <w:spacing w:before="0" w:after="0" w:line="252" w:lineRule="auto"/>
              <w:jc w:val="left"/>
            </w:pPr>
            <w:r/>
            <w:r>
              <w:rPr>
                <w:rFonts w:ascii="Arial" w:hAnsi="Arial"/>
                <w:b w:val="0"/>
                <w:i w:val="0"/>
                <w:color w:val="1F2937"/>
                <w:sz w:val="18"/>
              </w:rPr>
              <w:t>Name the authoritative field, order context, exact value/null rule, and case handling. The available Order MDU fields are nullable strings, not an explicit Tenant flag.</w:t>
            </w:r>
          </w:p>
        </w:tc>
      </w:tr>
      <w:tr>
        <w:tc>
          <w:tcPr>
            <w:tcW w:type="dxa" w:w="130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High</w:t>
            </w:r>
          </w:p>
        </w:tc>
        <w:tc>
          <w:tcPr>
            <w:tcW w:type="dxa" w:w="2700"/>
            <w:tcMar>
              <w:top w:w="80" w:type="dxa"/>
              <w:start w:w="120" w:type="dxa"/>
              <w:bottom w:w="80" w:type="dxa"/>
              <w:end w:w="120" w:type="dxa"/>
            </w:tcMar>
          </w:tcPr>
          <w:p>
            <w:pPr>
              <w:spacing w:before="0" w:after="0" w:line="252" w:lineRule="auto"/>
              <w:jc w:val="left"/>
            </w:pPr>
            <w:r/>
            <w:r>
              <w:rPr>
                <w:rFonts w:ascii="Arial" w:hAnsi="Arial"/>
                <w:b w:val="0"/>
                <w:i w:val="0"/>
                <w:color w:val="1F2937"/>
                <w:sz w:val="18"/>
              </w:rPr>
              <w:t>Condition direction</w:t>
            </w:r>
          </w:p>
        </w:tc>
        <w:tc>
          <w:tcPr>
            <w:tcW w:type="dxa" w:w="5360"/>
            <w:tcMar>
              <w:top w:w="80" w:type="dxa"/>
              <w:start w:w="120" w:type="dxa"/>
              <w:bottom w:w="80" w:type="dxa"/>
              <w:end w:w="120" w:type="dxa"/>
            </w:tcMar>
          </w:tcPr>
          <w:p>
            <w:pPr>
              <w:spacing w:before="0" w:after="0" w:line="252" w:lineRule="auto"/>
              <w:jc w:val="left"/>
            </w:pPr>
            <w:r/>
            <w:r>
              <w:rPr>
                <w:rFonts w:ascii="Arial" w:hAnsi="Arial"/>
                <w:b w:val="0"/>
                <w:i w:val="0"/>
                <w:color w:val="1F2937"/>
                <w:sz w:val="18"/>
              </w:rPr>
              <w:t>The tenant clause must make the whole execution condition false for MDU Tenant orders. A positive MDU match would execute the task instead of skipping it.</w:t>
            </w:r>
          </w:p>
        </w:tc>
      </w:tr>
      <w:tr>
        <w:tc>
          <w:tcPr>
            <w:tcW w:type="dxa" w:w="130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High</w:t>
            </w:r>
          </w:p>
        </w:tc>
        <w:tc>
          <w:tcPr>
            <w:tcW w:type="dxa" w:w="2700"/>
            <w:tcMar>
              <w:top w:w="80" w:type="dxa"/>
              <w:start w:w="120" w:type="dxa"/>
              <w:bottom w:w="80" w:type="dxa"/>
              <w:end w:w="120" w:type="dxa"/>
            </w:tcMar>
          </w:tcPr>
          <w:p>
            <w:pPr>
              <w:spacing w:before="0" w:after="0" w:line="252" w:lineRule="auto"/>
              <w:jc w:val="left"/>
            </w:pPr>
            <w:r/>
            <w:r>
              <w:rPr>
                <w:rFonts w:ascii="Arial" w:hAnsi="Arial"/>
                <w:b w:val="0"/>
                <w:i w:val="0"/>
                <w:color w:val="1F2937"/>
                <w:sz w:val="18"/>
              </w:rPr>
              <w:t>Existing-condition preservation</w:t>
            </w:r>
          </w:p>
        </w:tc>
        <w:tc>
          <w:tcPr>
            <w:tcW w:type="dxa" w:w="5360"/>
            <w:tcMar>
              <w:top w:w="80" w:type="dxa"/>
              <w:start w:w="120" w:type="dxa"/>
              <w:bottom w:w="80" w:type="dxa"/>
              <w:end w:w="120" w:type="dxa"/>
            </w:tcMar>
          </w:tcPr>
          <w:p>
            <w:pPr>
              <w:spacing w:before="0" w:after="0" w:line="252" w:lineRule="auto"/>
              <w:jc w:val="left"/>
            </w:pPr>
            <w:r/>
            <w:r>
              <w:rPr>
                <w:rFonts w:ascii="Arial" w:hAnsi="Arial"/>
                <w:b w:val="0"/>
                <w:i w:val="0"/>
                <w:color w:val="1F2937"/>
                <w:sz w:val="18"/>
              </w:rPr>
              <w:t>Nest the current task condition with the tenant exclusion. Do not remove appointment status, installation method, facility type, or product-code logic.</w:t>
            </w:r>
          </w:p>
        </w:tc>
      </w:tr>
      <w:tr>
        <w:tc>
          <w:tcPr>
            <w:tcW w:type="dxa" w:w="130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Medium</w:t>
            </w:r>
          </w:p>
        </w:tc>
        <w:tc>
          <w:tcPr>
            <w:tcW w:type="dxa" w:w="2700"/>
            <w:tcMar>
              <w:top w:w="80" w:type="dxa"/>
              <w:start w:w="120" w:type="dxa"/>
              <w:bottom w:w="80" w:type="dxa"/>
              <w:end w:w="120" w:type="dxa"/>
            </w:tcMar>
          </w:tcPr>
          <w:p>
            <w:pPr>
              <w:spacing w:before="0" w:after="0" w:line="252" w:lineRule="auto"/>
              <w:jc w:val="left"/>
            </w:pPr>
            <w:r/>
            <w:r>
              <w:rPr>
                <w:rFonts w:ascii="Arial" w:hAnsi="Arial"/>
                <w:b w:val="0"/>
                <w:i w:val="0"/>
                <w:color w:val="1F2937"/>
                <w:sz w:val="18"/>
              </w:rPr>
              <w:t>Parent/child order context</w:t>
            </w:r>
          </w:p>
        </w:tc>
        <w:tc>
          <w:tcPr>
            <w:tcW w:type="dxa" w:w="5360"/>
            <w:tcMar>
              <w:top w:w="80" w:type="dxa"/>
              <w:start w:w="120" w:type="dxa"/>
              <w:bottom w:w="80" w:type="dxa"/>
              <w:end w:w="120" w:type="dxa"/>
            </w:tcMar>
          </w:tcPr>
          <w:p>
            <w:pPr>
              <w:spacing w:before="0" w:after="0" w:line="252" w:lineRule="auto"/>
              <w:jc w:val="left"/>
            </w:pPr>
            <w:r/>
            <w:r>
              <w:rPr>
                <w:rFonts w:ascii="Arial" w:hAnsi="Arial"/>
                <w:b w:val="0"/>
                <w:i w:val="0"/>
                <w:color w:val="1F2937"/>
                <w:sz w:val="18"/>
              </w:rPr>
              <w:t>Confirm whether orchestration reads Order.MDU_Identifier_* or the parent-order formula fields; use the field populated in the runtime order context.</w:t>
            </w:r>
          </w:p>
        </w:tc>
      </w:tr>
      <w:tr>
        <w:tc>
          <w:tcPr>
            <w:tcW w:type="dxa" w:w="130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Medium</w:t>
            </w:r>
          </w:p>
        </w:tc>
        <w:tc>
          <w:tcPr>
            <w:tcW w:type="dxa" w:w="2700"/>
            <w:tcMar>
              <w:top w:w="80" w:type="dxa"/>
              <w:start w:w="120" w:type="dxa"/>
              <w:bottom w:w="80" w:type="dxa"/>
              <w:end w:w="120" w:type="dxa"/>
            </w:tcMar>
          </w:tcPr>
          <w:p>
            <w:pPr>
              <w:spacing w:before="0" w:after="0" w:line="252" w:lineRule="auto"/>
              <w:jc w:val="left"/>
            </w:pPr>
            <w:r/>
            <w:r>
              <w:rPr>
                <w:rFonts w:ascii="Arial" w:hAnsi="Arial"/>
                <w:b w:val="0"/>
                <w:i w:val="0"/>
                <w:color w:val="1F2937"/>
                <w:sz w:val="18"/>
              </w:rPr>
              <w:t>Multi-item semantics</w:t>
            </w:r>
          </w:p>
        </w:tc>
        <w:tc>
          <w:tcPr>
            <w:tcW w:type="dxa" w:w="5360"/>
            <w:tcMar>
              <w:top w:w="80" w:type="dxa"/>
              <w:start w:w="120" w:type="dxa"/>
              <w:bottom w:w="80" w:type="dxa"/>
              <w:end w:w="120" w:type="dxa"/>
            </w:tcMar>
          </w:tcPr>
          <w:p>
            <w:pPr>
              <w:spacing w:before="0" w:after="0" w:line="252" w:lineRule="auto"/>
              <w:jc w:val="left"/>
            </w:pPr>
            <w:r/>
            <w:r>
              <w:rPr>
                <w:rFonts w:ascii="Arial" w:hAnsi="Arial"/>
                <w:b w:val="0"/>
                <w:i w:val="0"/>
                <w:color w:val="1F2937"/>
                <w:sz w:val="18"/>
              </w:rPr>
              <w:t>Confirm mixed-order behavior because an orchestration condition can be met when any associated order item meets it.</w:t>
            </w:r>
          </w:p>
        </w:tc>
      </w:tr>
      <w:tr>
        <w:tc>
          <w:tcPr>
            <w:tcW w:type="dxa" w:w="130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Medium</w:t>
            </w:r>
          </w:p>
        </w:tc>
        <w:tc>
          <w:tcPr>
            <w:tcW w:type="dxa" w:w="2700"/>
            <w:tcMar>
              <w:top w:w="80" w:type="dxa"/>
              <w:start w:w="120" w:type="dxa"/>
              <w:bottom w:w="80" w:type="dxa"/>
              <w:end w:w="120" w:type="dxa"/>
            </w:tcMar>
          </w:tcPr>
          <w:p>
            <w:pPr>
              <w:spacing w:before="0" w:after="0" w:line="252" w:lineRule="auto"/>
              <w:jc w:val="left"/>
            </w:pPr>
            <w:r/>
            <w:r>
              <w:rPr>
                <w:rFonts w:ascii="Arial" w:hAnsi="Arial"/>
                <w:b w:val="0"/>
                <w:i w:val="0"/>
                <w:color w:val="1F2937"/>
                <w:sz w:val="18"/>
              </w:rPr>
              <w:t>Case, null, and missing data</w:t>
            </w:r>
          </w:p>
        </w:tc>
        <w:tc>
          <w:tcPr>
            <w:tcW w:type="dxa" w:w="5360"/>
            <w:tcMar>
              <w:top w:w="80" w:type="dxa"/>
              <w:start w:w="120" w:type="dxa"/>
              <w:bottom w:w="80" w:type="dxa"/>
              <w:end w:w="120" w:type="dxa"/>
            </w:tcMar>
          </w:tcPr>
          <w:p>
            <w:pPr>
              <w:spacing w:before="0" w:after="0" w:line="252" w:lineRule="auto"/>
              <w:jc w:val="left"/>
            </w:pPr>
            <w:r/>
            <w:r>
              <w:rPr>
                <w:rFonts w:ascii="Arial" w:hAnsi="Arial"/>
                <w:b w:val="0"/>
                <w:i w:val="0"/>
                <w:color w:val="1F2937"/>
                <w:sz w:val="18"/>
              </w:rPr>
              <w:t>Define behavior for blank MDU identifiers and exact case-sensitive values so ordinary orders are not skipped accidentally.</w:t>
            </w:r>
          </w:p>
        </w:tc>
      </w:tr>
      <w:tr>
        <w:tc>
          <w:tcPr>
            <w:tcW w:type="dxa" w:w="130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Medium</w:t>
            </w:r>
          </w:p>
        </w:tc>
        <w:tc>
          <w:tcPr>
            <w:tcW w:type="dxa" w:w="2700"/>
            <w:tcMar>
              <w:top w:w="80" w:type="dxa"/>
              <w:start w:w="120" w:type="dxa"/>
              <w:bottom w:w="80" w:type="dxa"/>
              <w:end w:w="120" w:type="dxa"/>
            </w:tcMar>
          </w:tcPr>
          <w:p>
            <w:pPr>
              <w:spacing w:before="0" w:after="0" w:line="252" w:lineRule="auto"/>
              <w:jc w:val="left"/>
            </w:pPr>
            <w:r/>
            <w:r>
              <w:rPr>
                <w:rFonts w:ascii="Arial" w:hAnsi="Arial"/>
                <w:b w:val="0"/>
                <w:i w:val="0"/>
                <w:color w:val="1F2937"/>
                <w:sz w:val="18"/>
              </w:rPr>
              <w:t>Dependency blast radius</w:t>
            </w:r>
          </w:p>
        </w:tc>
        <w:tc>
          <w:tcPr>
            <w:tcW w:type="dxa" w:w="5360"/>
            <w:tcMar>
              <w:top w:w="80" w:type="dxa"/>
              <w:start w:w="120" w:type="dxa"/>
              <w:bottom w:w="80" w:type="dxa"/>
              <w:end w:w="120" w:type="dxa"/>
            </w:tcMar>
          </w:tcPr>
          <w:p>
            <w:pPr>
              <w:spacing w:before="0" w:after="0" w:line="252" w:lineRule="auto"/>
              <w:jc w:val="left"/>
            </w:pPr>
            <w:r/>
            <w:r>
              <w:rPr>
                <w:rFonts w:ascii="Arial" w:hAnsi="Arial"/>
                <w:b w:val="0"/>
                <w:i w:val="0"/>
                <w:color w:val="1F2937"/>
                <w:sz w:val="18"/>
              </w:rPr>
              <w:t>Keep IsSkipBranch false and preserve global keys. Book Appointment gates Triage, Welcome Email, and Create WOLI; Splice gates Capture Tech Details.</w:t>
            </w:r>
          </w:p>
        </w:tc>
      </w:tr>
      <w:tr>
        <w:tc>
          <w:tcPr>
            <w:tcW w:type="dxa" w:w="1300"/>
            <w:shd w:fill="FFF6DE"/>
            <w:tcMar>
              <w:top w:w="80" w:type="dxa"/>
              <w:start w:w="120" w:type="dxa"/>
              <w:bottom w:w="80" w:type="dxa"/>
              <w:end w:w="120" w:type="dxa"/>
            </w:tcMar>
          </w:tcPr>
          <w:p>
            <w:pPr>
              <w:spacing w:before="0" w:after="0" w:line="252" w:lineRule="auto"/>
              <w:jc w:val="center"/>
            </w:pPr>
            <w:r/>
            <w:r>
              <w:rPr>
                <w:rFonts w:ascii="Arial" w:hAnsi="Arial"/>
                <w:b/>
                <w:i w:val="0"/>
                <w:color w:val="B7791F"/>
                <w:sz w:val="19"/>
              </w:rPr>
              <w:t>Medium</w:t>
            </w:r>
          </w:p>
        </w:tc>
        <w:tc>
          <w:tcPr>
            <w:tcW w:type="dxa" w:w="2700"/>
            <w:tcMar>
              <w:top w:w="80" w:type="dxa"/>
              <w:start w:w="120" w:type="dxa"/>
              <w:bottom w:w="80" w:type="dxa"/>
              <w:end w:w="120" w:type="dxa"/>
            </w:tcMar>
          </w:tcPr>
          <w:p>
            <w:pPr>
              <w:spacing w:before="0" w:after="0" w:line="252" w:lineRule="auto"/>
              <w:jc w:val="left"/>
            </w:pPr>
            <w:r/>
            <w:r>
              <w:rPr>
                <w:rFonts w:ascii="Arial" w:hAnsi="Arial"/>
                <w:b w:val="0"/>
                <w:i w:val="0"/>
                <w:color w:val="1F2937"/>
                <w:sz w:val="18"/>
              </w:rPr>
              <w:t>Product path inconsistency</w:t>
            </w:r>
          </w:p>
        </w:tc>
        <w:tc>
          <w:tcPr>
            <w:tcW w:type="dxa" w:w="5360"/>
            <w:tcMar>
              <w:top w:w="80" w:type="dxa"/>
              <w:start w:w="120" w:type="dxa"/>
              <w:bottom w:w="80" w:type="dxa"/>
              <w:end w:w="120" w:type="dxa"/>
            </w:tcMar>
          </w:tcPr>
          <w:p>
            <w:pPr>
              <w:spacing w:before="0" w:after="0" w:line="252" w:lineRule="auto"/>
              <w:jc w:val="left"/>
            </w:pPr>
            <w:r/>
            <w:r>
              <w:rPr>
                <w:rFonts w:ascii="Arial" w:hAnsi="Arial"/>
                <w:b w:val="0"/>
                <w:i w:val="0"/>
                <w:color w:val="1F2937"/>
                <w:sz w:val="18"/>
              </w:rPr>
              <w:t>Install Drop currently uses Product2.ProductCode while the other drop items use vlocity_cmt__Product2Id__r.ProductCode. Do not normalize this accidentally; confirm the correct runtime node.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pPr>
              <w:spacing w:after="40"/>
            </w:pPr>
            <w:r>
              <w:rPr>
                <w:rFonts w:ascii="Arial" w:hAnsi="Arial"/>
                <w:b/>
                <w:i w:val="0"/>
                <w:color w:val="C53030"/>
                <w:sz w:val="18"/>
              </w:rPr>
              <w:t>REVIEW BLOCKER</w:t>
            </w:r>
          </w:p>
          <w:p>
            <w:pPr>
              <w:spacing w:after="0" w:line="259" w:lineRule="auto"/>
            </w:pPr>
            <w:r>
              <w:rPr>
                <w:rFonts w:ascii="Arial" w:hAnsi="Arial"/>
                <w:b/>
                <w:i w:val="0"/>
                <w:color w:val="0B2545"/>
                <w:sz w:val="22"/>
              </w:rPr>
              <w:t>The live source snapshot supports design review only. It is not a substitute for the PR diff and must not be used to approve the changed JSON payload.</w:t>
            </w:r>
          </w:p>
        </w:tc>
        <w:trPr>
          <w:tblHeader/>
        </w:trPr>
      </w:tr>
    </w:tbl>
    <w:p>
      <w:pPr>
        <w:spacing w:after="20"/>
      </w:pPr>
    </w:p>
    <w:p>
      <w:r>
        <w:br w:type="page"/>
      </w:r>
    </w:p>
    <w:p>
      <w:pPr>
        <w:pStyle w:val="Heading1"/>
        <w:keepNext/>
      </w:pPr>
      <w:r>
        <w:t>Five-file condition scope</w:t>
      </w:r>
    </w:p>
    <w:tbl>
      <w:tblPr>
        <w:tblStyle w:val="TableGrid"/>
        <w:tblW w:type="dxa" w:w="9360"/>
        <w:jc w:val="left"/>
        <w:tblLayout w:type="fixed"/>
        <w:tblLook w:firstColumn="1" w:firstRow="1" w:lastColumn="0" w:lastRow="0" w:noHBand="0" w:noVBand="1" w:val="04A0"/>
        <w:tblInd w:w="120" w:type="dxa"/>
      </w:tblPr>
      <w:tblGrid>
        <w:gridCol w:w="2500"/>
        <w:gridCol w:w="3100"/>
        <w:gridCol w:w="3760"/>
      </w:tblGrid>
      <w:tr>
        <w:trPr>
          <w:tblHeader w:val="true"/>
        </w:trPr>
        <w:tc>
          <w:tcPr>
            <w:tcW w:type="dxa" w:w="25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DataPack</w:t>
            </w:r>
          </w:p>
        </w:tc>
        <w:tc>
          <w:tcPr>
            <w:tcW w:type="dxa" w:w="31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Current source condition</w:t>
            </w:r>
          </w:p>
        </w:tc>
        <w:tc>
          <w:tcPr>
            <w:tcW w:type="dxa" w:w="376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Required PR treatment</w:t>
            </w:r>
          </w:p>
        </w:tc>
      </w:tr>
      <w:tr>
        <w:tc>
          <w:tcPr>
            <w:tcW w:type="dxa" w:w="2500"/>
            <w:tcMar>
              <w:top w:w="80" w:type="dxa"/>
              <w:start w:w="120" w:type="dxa"/>
              <w:bottom w:w="80" w:type="dxa"/>
              <w:end w:w="120" w:type="dxa"/>
            </w:tcMar>
          </w:tcPr>
          <w:p>
            <w:pPr>
              <w:spacing w:before="0" w:after="0" w:line="252" w:lineRule="auto"/>
              <w:jc w:val="left"/>
            </w:pPr>
            <w:r/>
            <w:r>
              <w:rPr>
                <w:rFonts w:ascii="Arial" w:hAnsi="Arial"/>
                <w:b w:val="0"/>
                <w:i w:val="0"/>
                <w:color w:val="1F2937"/>
                <w:sz w:val="18"/>
              </w:rPr>
              <w:t>Book Appointment</w:t>
            </w:r>
          </w:p>
        </w:tc>
        <w:tc>
          <w:tcPr>
            <w:tcW w:type="dxa" w:w="3100"/>
            <w:tcMar>
              <w:top w:w="80" w:type="dxa"/>
              <w:start w:w="120" w:type="dxa"/>
              <w:bottom w:w="80" w:type="dxa"/>
              <w:end w:w="120" w:type="dxa"/>
            </w:tcMar>
          </w:tcPr>
          <w:p>
            <w:pPr>
              <w:spacing w:before="0" w:after="0" w:line="252" w:lineRule="auto"/>
              <w:jc w:val="left"/>
            </w:pPr>
            <w:r/>
            <w:r>
              <w:rPr>
                <w:rFonts w:ascii="Arial" w:hAnsi="Arial"/>
                <w:b w:val="0"/>
                <w:i w:val="0"/>
                <w:color w:val="1F2937"/>
                <w:sz w:val="18"/>
              </w:rPr>
              <w:t>Order.Service_Appointment_Status__c != Scheduled</w:t>
            </w:r>
          </w:p>
        </w:tc>
        <w:tc>
          <w:tcPr>
            <w:tcW w:type="dxa" w:w="3760"/>
            <w:tcMar>
              <w:top w:w="80" w:type="dxa"/>
              <w:start w:w="120" w:type="dxa"/>
              <w:bottom w:w="80" w:type="dxa"/>
              <w:end w:w="120" w:type="dxa"/>
            </w:tcMar>
          </w:tcPr>
          <w:p>
            <w:pPr>
              <w:spacing w:before="0" w:after="0" w:line="252" w:lineRule="auto"/>
              <w:jc w:val="left"/>
            </w:pPr>
            <w:r/>
            <w:r>
              <w:rPr>
                <w:rFonts w:ascii="Arial" w:hAnsi="Arial"/>
                <w:b w:val="0"/>
                <w:i w:val="0"/>
                <w:color w:val="1F2937"/>
                <w:sz w:val="18"/>
              </w:rPr>
              <w:t>Add non-MDU gate; retain appointment status logic; keep Skip Branch false.</w:t>
            </w:r>
          </w:p>
        </w:tc>
      </w:tr>
      <w:tr>
        <w:tc>
          <w:tcPr>
            <w:tcW w:type="dxa" w:w="2500"/>
            <w:tcMar>
              <w:top w:w="80" w:type="dxa"/>
              <w:start w:w="120" w:type="dxa"/>
              <w:bottom w:w="80" w:type="dxa"/>
              <w:end w:w="120" w:type="dxa"/>
            </w:tcMar>
          </w:tcPr>
          <w:p>
            <w:pPr>
              <w:spacing w:before="0" w:after="0" w:line="252" w:lineRule="auto"/>
              <w:jc w:val="left"/>
            </w:pPr>
            <w:r/>
            <w:r>
              <w:rPr>
                <w:rFonts w:ascii="Arial" w:hAnsi="Arial"/>
                <w:b w:val="0"/>
                <w:i w:val="0"/>
                <w:color w:val="1F2937"/>
                <w:sz w:val="18"/>
              </w:rPr>
              <w:t>Triage, Prep-Work &amp; Sitewalk</w:t>
            </w:r>
          </w:p>
        </w:tc>
        <w:tc>
          <w:tcPr>
            <w:tcW w:type="dxa" w:w="3100"/>
            <w:tcMar>
              <w:top w:w="80" w:type="dxa"/>
              <w:start w:w="120" w:type="dxa"/>
              <w:bottom w:w="80" w:type="dxa"/>
              <w:end w:w="120" w:type="dxa"/>
            </w:tcMar>
          </w:tcPr>
          <w:p>
            <w:pPr>
              <w:spacing w:before="0" w:after="0" w:line="252" w:lineRule="auto"/>
              <w:jc w:val="left"/>
            </w:pPr>
            <w:r/>
            <w:r>
              <w:rPr>
                <w:rFonts w:ascii="Arial" w:hAnsi="Arial"/>
                <w:b w:val="0"/>
                <w:i w:val="0"/>
                <w:color w:val="1F2937"/>
                <w:sz w:val="18"/>
              </w:rPr>
              <w:t>Installation method + facility type + product</w:t>
            </w:r>
          </w:p>
        </w:tc>
        <w:tc>
          <w:tcPr>
            <w:tcW w:type="dxa" w:w="3760"/>
            <w:tcMar>
              <w:top w:w="80" w:type="dxa"/>
              <w:start w:w="120" w:type="dxa"/>
              <w:bottom w:w="80" w:type="dxa"/>
              <w:end w:w="120" w:type="dxa"/>
            </w:tcMar>
          </w:tcPr>
          <w:p>
            <w:pPr>
              <w:spacing w:before="0" w:after="0" w:line="252" w:lineRule="auto"/>
              <w:jc w:val="left"/>
            </w:pPr>
            <w:r/>
            <w:r>
              <w:rPr>
                <w:rFonts w:ascii="Arial" w:hAnsi="Arial"/>
                <w:b w:val="0"/>
                <w:i w:val="0"/>
                <w:color w:val="1F2937"/>
                <w:sz w:val="18"/>
              </w:rPr>
              <w:t>Add the same tenant exclusion without changing dependency or product path.</w:t>
            </w:r>
          </w:p>
        </w:tc>
      </w:tr>
      <w:tr>
        <w:tc>
          <w:tcPr>
            <w:tcW w:type="dxa" w:w="2500"/>
            <w:tcMar>
              <w:top w:w="80" w:type="dxa"/>
              <w:start w:w="120" w:type="dxa"/>
              <w:bottom w:w="80" w:type="dxa"/>
              <w:end w:w="120" w:type="dxa"/>
            </w:tcMar>
          </w:tcPr>
          <w:p>
            <w:pPr>
              <w:spacing w:before="0" w:after="0" w:line="252" w:lineRule="auto"/>
              <w:jc w:val="left"/>
            </w:pPr>
            <w:r/>
            <w:r>
              <w:rPr>
                <w:rFonts w:ascii="Arial" w:hAnsi="Arial"/>
                <w:b w:val="0"/>
                <w:i w:val="0"/>
                <w:color w:val="1F2937"/>
                <w:sz w:val="18"/>
              </w:rPr>
              <w:t>Notify 811</w:t>
            </w:r>
          </w:p>
        </w:tc>
        <w:tc>
          <w:tcPr>
            <w:tcW w:type="dxa" w:w="3100"/>
            <w:tcMar>
              <w:top w:w="80" w:type="dxa"/>
              <w:start w:w="120" w:type="dxa"/>
              <w:bottom w:w="80" w:type="dxa"/>
              <w:end w:w="120" w:type="dxa"/>
            </w:tcMar>
          </w:tcPr>
          <w:p>
            <w:pPr>
              <w:spacing w:before="0" w:after="0" w:line="252" w:lineRule="auto"/>
              <w:jc w:val="left"/>
            </w:pPr>
            <w:r/>
            <w:r>
              <w:rPr>
                <w:rFonts w:ascii="Arial" w:hAnsi="Arial"/>
                <w:b w:val="0"/>
                <w:i w:val="0"/>
                <w:color w:val="1F2937"/>
                <w:sz w:val="18"/>
              </w:rPr>
              <w:t>Installation method + facility type + product</w:t>
            </w:r>
          </w:p>
        </w:tc>
        <w:tc>
          <w:tcPr>
            <w:tcW w:type="dxa" w:w="3760"/>
            <w:tcMar>
              <w:top w:w="80" w:type="dxa"/>
              <w:start w:w="120" w:type="dxa"/>
              <w:bottom w:w="80" w:type="dxa"/>
              <w:end w:w="120" w:type="dxa"/>
            </w:tcMar>
          </w:tcPr>
          <w:p>
            <w:pPr>
              <w:spacing w:before="0" w:after="0" w:line="252" w:lineRule="auto"/>
              <w:jc w:val="left"/>
            </w:pPr>
            <w:r/>
            <w:r>
              <w:rPr>
                <w:rFonts w:ascii="Arial" w:hAnsi="Arial"/>
                <w:b w:val="0"/>
                <w:i w:val="0"/>
                <w:color w:val="1F2937"/>
                <w:sz w:val="18"/>
              </w:rPr>
              <w:t>Add the same tenant exclusion; preserve dependency from Triage and to Install Drop.</w:t>
            </w:r>
          </w:p>
        </w:tc>
      </w:tr>
      <w:tr>
        <w:tc>
          <w:tcPr>
            <w:tcW w:type="dxa" w:w="2500"/>
            <w:tcMar>
              <w:top w:w="80" w:type="dxa"/>
              <w:start w:w="120" w:type="dxa"/>
              <w:bottom w:w="80" w:type="dxa"/>
              <w:end w:w="120" w:type="dxa"/>
            </w:tcMar>
          </w:tcPr>
          <w:p>
            <w:pPr>
              <w:spacing w:before="0" w:after="0" w:line="252" w:lineRule="auto"/>
              <w:jc w:val="left"/>
            </w:pPr>
            <w:r/>
            <w:r>
              <w:rPr>
                <w:rFonts w:ascii="Arial" w:hAnsi="Arial"/>
                <w:b w:val="0"/>
                <w:i w:val="0"/>
                <w:color w:val="1F2937"/>
                <w:sz w:val="18"/>
              </w:rPr>
              <w:t>Install Drop</w:t>
            </w:r>
          </w:p>
        </w:tc>
        <w:tc>
          <w:tcPr>
            <w:tcW w:type="dxa" w:w="3100"/>
            <w:tcMar>
              <w:top w:w="80" w:type="dxa"/>
              <w:start w:w="120" w:type="dxa"/>
              <w:bottom w:w="80" w:type="dxa"/>
              <w:end w:w="120" w:type="dxa"/>
            </w:tcMar>
          </w:tcPr>
          <w:p>
            <w:pPr>
              <w:spacing w:before="0" w:after="0" w:line="252" w:lineRule="auto"/>
              <w:jc w:val="left"/>
            </w:pPr>
            <w:r/>
            <w:r>
              <w:rPr>
                <w:rFonts w:ascii="Arial" w:hAnsi="Arial"/>
                <w:b w:val="0"/>
                <w:i w:val="0"/>
                <w:color w:val="1F2937"/>
                <w:sz w:val="18"/>
              </w:rPr>
              <w:t>Installation method + facility type + Product2.ProductCode</w:t>
            </w:r>
          </w:p>
        </w:tc>
        <w:tc>
          <w:tcPr>
            <w:tcW w:type="dxa" w:w="3760"/>
            <w:tcMar>
              <w:top w:w="80" w:type="dxa"/>
              <w:start w:w="120" w:type="dxa"/>
              <w:bottom w:w="80" w:type="dxa"/>
              <w:end w:w="120" w:type="dxa"/>
            </w:tcMar>
          </w:tcPr>
          <w:p>
            <w:pPr>
              <w:spacing w:before="0" w:after="0" w:line="252" w:lineRule="auto"/>
              <w:jc w:val="left"/>
            </w:pPr>
            <w:r/>
            <w:r>
              <w:rPr>
                <w:rFonts w:ascii="Arial" w:hAnsi="Arial"/>
                <w:b w:val="0"/>
                <w:i w:val="0"/>
                <w:color w:val="1F2937"/>
                <w:sz w:val="18"/>
              </w:rPr>
              <w:t>Add the same tenant exclusion; confirm Product2 path before any cleanup.</w:t>
            </w:r>
          </w:p>
        </w:tc>
      </w:tr>
      <w:tr>
        <w:tc>
          <w:tcPr>
            <w:tcW w:type="dxa" w:w="2500"/>
            <w:tcMar>
              <w:top w:w="80" w:type="dxa"/>
              <w:start w:w="120" w:type="dxa"/>
              <w:bottom w:w="80" w:type="dxa"/>
              <w:end w:w="120" w:type="dxa"/>
            </w:tcMar>
          </w:tcPr>
          <w:p>
            <w:pPr>
              <w:spacing w:before="0" w:after="0" w:line="252" w:lineRule="auto"/>
              <w:jc w:val="left"/>
            </w:pPr>
            <w:r/>
            <w:r>
              <w:rPr>
                <w:rFonts w:ascii="Arial" w:hAnsi="Arial"/>
                <w:b w:val="0"/>
                <w:i w:val="0"/>
                <w:color w:val="1F2937"/>
                <w:sz w:val="18"/>
              </w:rPr>
              <w:t>Splice and Cutover Drop</w:t>
            </w:r>
          </w:p>
        </w:tc>
        <w:tc>
          <w:tcPr>
            <w:tcW w:type="dxa" w:w="3100"/>
            <w:tcMar>
              <w:top w:w="80" w:type="dxa"/>
              <w:start w:w="120" w:type="dxa"/>
              <w:bottom w:w="80" w:type="dxa"/>
              <w:end w:w="120" w:type="dxa"/>
            </w:tcMar>
          </w:tcPr>
          <w:p>
            <w:pPr>
              <w:spacing w:before="0" w:after="0" w:line="252" w:lineRule="auto"/>
              <w:jc w:val="left"/>
            </w:pPr>
            <w:r/>
            <w:r>
              <w:rPr>
                <w:rFonts w:ascii="Arial" w:hAnsi="Arial"/>
                <w:b w:val="0"/>
                <w:i w:val="0"/>
                <w:color w:val="1F2937"/>
                <w:sz w:val="18"/>
              </w:rPr>
              <w:t>Installation method + facility type + product</w:t>
            </w:r>
          </w:p>
        </w:tc>
        <w:tc>
          <w:tcPr>
            <w:tcW w:type="dxa" w:w="3760"/>
            <w:tcMar>
              <w:top w:w="80" w:type="dxa"/>
              <w:start w:w="120" w:type="dxa"/>
              <w:bottom w:w="80" w:type="dxa"/>
              <w:end w:w="120" w:type="dxa"/>
            </w:tcMar>
          </w:tcPr>
          <w:p>
            <w:pPr>
              <w:spacing w:before="0" w:after="0" w:line="252" w:lineRule="auto"/>
              <w:jc w:val="left"/>
            </w:pPr>
            <w:r/>
            <w:r>
              <w:rPr>
                <w:rFonts w:ascii="Arial" w:hAnsi="Arial"/>
                <w:b w:val="0"/>
                <w:i w:val="0"/>
                <w:color w:val="1F2937"/>
                <w:sz w:val="18"/>
              </w:rPr>
              <w:t>Add the same tenant exclusion; preserve dependency from Install Drop and to Capture Tech Details.</w:t>
            </w:r>
          </w:p>
        </w:tc>
      </w:tr>
    </w:tbl>
    <w:p>
      <w:pPr>
        <w:spacing w:after="20"/>
      </w:pPr>
    </w:p>
    <w:p>
      <w:pPr>
        <w:pStyle w:val="Heading2"/>
        <w:keepNext/>
      </w:pPr>
      <w:r>
        <w:t>DataPack and ParentKeys controls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Control</w:t>
            </w:r>
          </w:p>
        </w:tc>
        <w:tc>
          <w:tcPr>
            <w:tcW w:type="dxa" w:w="706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Peer-review expectation</w:t>
            </w:r>
          </w:p>
        </w:tc>
      </w:tr>
      <w:tr>
        <w:tc>
          <w:tcPr>
            <w:tcW w:type="dxa" w:w="2300"/>
            <w:tcMar>
              <w:top w:w="80" w:type="dxa"/>
              <w:start w:w="120" w:type="dxa"/>
              <w:bottom w:w="80" w:type="dxa"/>
              <w:end w:w="120" w:type="dxa"/>
            </w:tcMar>
          </w:tcPr>
          <w:p>
            <w:pPr>
              <w:spacing w:before="0" w:after="0" w:line="252" w:lineRule="auto"/>
              <w:jc w:val="left"/>
            </w:pPr>
            <w:r/>
            <w:r>
              <w:rPr>
                <w:rFonts w:ascii="Arial" w:hAnsi="Arial"/>
                <w:b w:val="0"/>
                <w:i w:val="0"/>
                <w:color w:val="1F2937"/>
                <w:sz w:val="18"/>
              </w:rPr>
              <w:t>DataPack identity</w:t>
            </w:r>
          </w:p>
        </w:tc>
        <w:tc>
          <w:tcPr>
            <w:tcW w:type="dxa" w:w="7060"/>
            <w:tcMar>
              <w:top w:w="80" w:type="dxa"/>
              <w:start w:w="120" w:type="dxa"/>
              <w:bottom w:w="80" w:type="dxa"/>
              <w:end w:w="120" w:type="dxa"/>
            </w:tcMar>
          </w:tcPr>
          <w:p>
            <w:pPr>
              <w:spacing w:before="0" w:after="0" w:line="252" w:lineRule="auto"/>
              <w:jc w:val="left"/>
            </w:pPr>
            <w:r/>
            <w:r>
              <w:rPr>
                <w:rFonts w:ascii="Arial" w:hAnsi="Arial"/>
                <w:b w:val="0"/>
                <w:i w:val="0"/>
                <w:color w:val="1F2937"/>
                <w:sz w:val="18"/>
              </w:rPr>
              <w:t>Preserve all five GlobalKey values, plan reference to Internet Plan, ManualTask record type, names, scope, and implementation references.</w:t>
            </w:r>
          </w:p>
        </w:tc>
      </w:tr>
      <w:tr>
        <w:tc>
          <w:tcPr>
            <w:tcW w:type="dxa" w:w="2300"/>
            <w:tcMar>
              <w:top w:w="80" w:type="dxa"/>
              <w:start w:w="120" w:type="dxa"/>
              <w:bottom w:w="80" w:type="dxa"/>
              <w:end w:w="120" w:type="dxa"/>
            </w:tcMar>
          </w:tcPr>
          <w:p>
            <w:pPr>
              <w:spacing w:before="0" w:after="0" w:line="252" w:lineRule="auto"/>
              <w:jc w:val="left"/>
            </w:pPr>
            <w:r/>
            <w:r>
              <w:rPr>
                <w:rFonts w:ascii="Arial" w:hAnsi="Arial"/>
                <w:b w:val="0"/>
                <w:i w:val="0"/>
                <w:color w:val="1F2937"/>
                <w:sz w:val="18"/>
              </w:rPr>
              <w:t>ConditionData</w:t>
            </w:r>
          </w:p>
        </w:tc>
        <w:tc>
          <w:tcPr>
            <w:tcW w:type="dxa" w:w="7060"/>
            <w:tcMar>
              <w:top w:w="80" w:type="dxa"/>
              <w:start w:w="120" w:type="dxa"/>
              <w:bottom w:w="80" w:type="dxa"/>
              <w:end w:w="120" w:type="dxa"/>
            </w:tcMar>
          </w:tcPr>
          <w:p>
            <w:pPr>
              <w:spacing w:before="0" w:after="0" w:line="252" w:lineRule="auto"/>
              <w:jc w:val="left"/>
            </w:pPr>
            <w:r/>
            <w:r>
              <w:rPr>
                <w:rFonts w:ascii="Arial" w:hAnsi="Arial"/>
                <w:b w:val="0"/>
                <w:i w:val="0"/>
                <w:color w:val="1F2937"/>
                <w:sz w:val="18"/>
              </w:rPr>
              <w:t>Change only the intended boolean tree; use valid nested AND/OR/NOT structure and preserve datatype, field-node, operator, and value tokens.</w:t>
            </w:r>
          </w:p>
        </w:tc>
      </w:tr>
      <w:tr>
        <w:tc>
          <w:tcPr>
            <w:tcW w:type="dxa" w:w="2300"/>
            <w:tcMar>
              <w:top w:w="80" w:type="dxa"/>
              <w:start w:w="120" w:type="dxa"/>
              <w:bottom w:w="80" w:type="dxa"/>
              <w:end w:w="120" w:type="dxa"/>
            </w:tcMar>
          </w:tcPr>
          <w:p>
            <w:pPr>
              <w:spacing w:before="0" w:after="0" w:line="252" w:lineRule="auto"/>
              <w:jc w:val="left"/>
            </w:pPr>
            <w:r/>
            <w:r>
              <w:rPr>
                <w:rFonts w:ascii="Arial" w:hAnsi="Arial"/>
                <w:b w:val="0"/>
                <w:i w:val="0"/>
                <w:color w:val="1F2937"/>
                <w:sz w:val="18"/>
              </w:rPr>
              <w:t>ParentKeys</w:t>
            </w:r>
          </w:p>
        </w:tc>
        <w:tc>
          <w:tcPr>
            <w:tcW w:type="dxa" w:w="7060"/>
            <w:tcMar>
              <w:top w:w="80" w:type="dxa"/>
              <w:start w:w="120" w:type="dxa"/>
              <w:bottom w:w="80" w:type="dxa"/>
              <w:end w:w="120" w:type="dxa"/>
            </w:tcMar>
          </w:tcPr>
          <w:p>
            <w:pPr>
              <w:spacing w:before="0" w:after="0" w:line="252" w:lineRule="auto"/>
              <w:jc w:val="left"/>
            </w:pPr>
            <w:r/>
            <w:r>
              <w:rPr>
                <w:rFonts w:ascii="Arial" w:hAnsi="Arial"/>
                <w:b w:val="0"/>
                <w:i w:val="0"/>
                <w:color w:val="1F2937"/>
                <w:sz w:val="18"/>
              </w:rPr>
              <w:t>Review all four modified ParentKeys files for stable existing keys only. Explain why Book Appointment has no ParentKeys file in the stated scope.</w:t>
            </w:r>
          </w:p>
        </w:tc>
      </w:tr>
      <w:tr>
        <w:tc>
          <w:tcPr>
            <w:tcW w:type="dxa" w:w="2300"/>
            <w:tcMar>
              <w:top w:w="80" w:type="dxa"/>
              <w:start w:w="120" w:type="dxa"/>
              <w:bottom w:w="80" w:type="dxa"/>
              <w:end w:w="120" w:type="dxa"/>
            </w:tcMar>
          </w:tcPr>
          <w:p>
            <w:pPr>
              <w:spacing w:before="0" w:after="0" w:line="252" w:lineRule="auto"/>
              <w:jc w:val="left"/>
            </w:pPr>
            <w:r/>
            <w:r>
              <w:rPr>
                <w:rFonts w:ascii="Arial" w:hAnsi="Arial"/>
                <w:b w:val="0"/>
                <w:i w:val="0"/>
                <w:color w:val="1F2937"/>
                <w:sz w:val="18"/>
              </w:rPr>
              <w:t>Unrelated drift</w:t>
            </w:r>
          </w:p>
        </w:tc>
        <w:tc>
          <w:tcPr>
            <w:tcW w:type="dxa" w:w="7060"/>
            <w:tcMar>
              <w:top w:w="80" w:type="dxa"/>
              <w:start w:w="120" w:type="dxa"/>
              <w:bottom w:w="80" w:type="dxa"/>
              <w:end w:w="120" w:type="dxa"/>
            </w:tcMar>
          </w:tcPr>
          <w:p>
            <w:pPr>
              <w:spacing w:before="0" w:after="0" w:line="252" w:lineRule="auto"/>
              <w:jc w:val="left"/>
            </w:pPr>
            <w:r/>
            <w:r>
              <w:rPr>
                <w:rFonts w:ascii="Arial" w:hAnsi="Arial"/>
                <w:b w:val="0"/>
                <w:i w:val="0"/>
                <w:color w:val="1F2937"/>
                <w:sz w:val="18"/>
              </w:rPr>
              <w:t>Reject regenerated IDs, reordered unrelated JSON, environment-specific record IDs, activation changes, or modifications outside the nine named files.</w:t>
            </w:r>
          </w:p>
        </w:tc>
      </w:tr>
      <w:tr>
        <w:tc>
          <w:tcPr>
            <w:tcW w:type="dxa" w:w="2300"/>
            <w:tcMar>
              <w:top w:w="80" w:type="dxa"/>
              <w:start w:w="120" w:type="dxa"/>
              <w:bottom w:w="80" w:type="dxa"/>
              <w:end w:w="120" w:type="dxa"/>
            </w:tcMar>
          </w:tcPr>
          <w:p>
            <w:pPr>
              <w:spacing w:before="0" w:after="0" w:line="252" w:lineRule="auto"/>
              <w:jc w:val="left"/>
            </w:pPr>
            <w:r/>
            <w:r>
              <w:rPr>
                <w:rFonts w:ascii="Arial" w:hAnsi="Arial"/>
                <w:b w:val="0"/>
                <w:i w:val="0"/>
                <w:color w:val="1F2937"/>
                <w:sz w:val="18"/>
              </w:rPr>
              <w:t>PR evidence</w:t>
            </w:r>
          </w:p>
        </w:tc>
        <w:tc>
          <w:tcPr>
            <w:tcW w:type="dxa" w:w="7060"/>
            <w:tcMar>
              <w:top w:w="80" w:type="dxa"/>
              <w:start w:w="120" w:type="dxa"/>
              <w:bottom w:w="80" w:type="dxa"/>
              <w:end w:w="120" w:type="dxa"/>
            </w:tcMar>
          </w:tcPr>
          <w:p>
            <w:pPr>
              <w:spacing w:before="0" w:after="0" w:line="252" w:lineRule="auto"/>
              <w:jc w:val="left"/>
            </w:pPr>
            <w:r/>
            <w:r>
              <w:rPr>
                <w:rFonts w:ascii="Arial" w:hAnsi="Arial"/>
                <w:b w:val="0"/>
                <w:i w:val="0"/>
                <w:color w:val="1F2937"/>
                <w:sz w:val="18"/>
              </w:rPr>
              <w:t>Include a readable before/after condition for each item and a file list proving the PR is limited to SCC-4486.</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DE"/>
          </w:tcPr>
          <w:p>
            <w:pPr>
              <w:spacing w:after="40"/>
            </w:pPr>
            <w:r>
              <w:rPr>
                <w:rFonts w:ascii="Arial" w:hAnsi="Arial"/>
                <w:b/>
                <w:i w:val="0"/>
                <w:color w:val="B7791F"/>
                <w:sz w:val="18"/>
              </w:rPr>
              <w:t>PR-ONLY BOUNDARY</w:t>
            </w:r>
          </w:p>
          <w:p>
            <w:pPr>
              <w:spacing w:after="0" w:line="259" w:lineRule="auto"/>
            </w:pPr>
            <w:r>
              <w:rPr>
                <w:rFonts w:ascii="Arial" w:hAnsi="Arial"/>
                <w:b/>
                <w:i w:val="0"/>
                <w:color w:val="0B2545"/>
                <w:sz w:val="22"/>
              </w:rPr>
              <w:t>No IT test, UAT execution, deployment validation, or runtime order result is claimed in this review. Those are separate release gates after the PR is technically approvable.</w:t>
            </w:r>
          </w:p>
        </w:tc>
        <w:trPr>
          <w:tblHeader/>
        </w:trPr>
      </w:tr>
    </w:tbl>
    <w:p>
      <w:pPr>
        <w:spacing w:after="20"/>
      </w:pPr>
    </w:p>
    <w:p>
      <w:r>
        <w:br w:type="page"/>
      </w:r>
    </w:p>
    <w:p>
      <w:pPr>
        <w:pStyle w:val="Heading1"/>
        <w:keepNext/>
      </w:pPr>
      <w:r>
        <w:t>PR approval gates</w:t>
      </w:r>
    </w:p>
    <w:tbl>
      <w:tblPr>
        <w:tblStyle w:val="TableGrid"/>
        <w:tblW w:type="dxa" w:w="9360"/>
        <w:jc w:val="left"/>
        <w:tblLayout w:type="fixed"/>
        <w:tblLook w:firstColumn="1" w:firstRow="1" w:lastColumn="0" w:lastRow="0" w:noHBand="0" w:noVBand="1" w:val="04A0"/>
        <w:tblInd w:w="120" w:type="dxa"/>
      </w:tblPr>
      <w:tblGrid>
        <w:gridCol w:w="500"/>
        <w:gridCol w:w="2300"/>
        <w:gridCol w:w="2200"/>
        <w:gridCol w:w="4360"/>
      </w:tblGrid>
      <w:tr>
        <w:trPr>
          <w:tblHeader w:val="true"/>
        </w:trPr>
        <w:tc>
          <w:tcPr>
            <w:tcW w:type="dxa" w:w="5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w:t>
            </w:r>
          </w:p>
        </w:tc>
        <w:tc>
          <w:tcPr>
            <w:tcW w:type="dxa" w:w="23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Required action</w:t>
            </w:r>
          </w:p>
        </w:tc>
        <w:tc>
          <w:tcPr>
            <w:tcW w:type="dxa" w:w="220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Owner</w:t>
            </w:r>
          </w:p>
        </w:tc>
        <w:tc>
          <w:tcPr>
            <w:tcW w:type="dxa" w:w="4360"/>
            <w:tcMar>
              <w:top w:w="80" w:type="dxa"/>
              <w:start w:w="120" w:type="dxa"/>
              <w:bottom w:w="80" w:type="dxa"/>
              <w:end w:w="120" w:type="dxa"/>
            </w:tcMar>
            <w:vAlign w:val="center"/>
            <w:shd w:fill="F2F4F7"/>
          </w:tcPr>
          <w:p>
            <w:pPr>
              <w:spacing w:before="0" w:after="0" w:line="252" w:lineRule="auto"/>
              <w:jc w:val="left"/>
            </w:pPr>
            <w:r/>
            <w:r>
              <w:rPr>
                <w:rFonts w:ascii="Arial" w:hAnsi="Arial"/>
                <w:b/>
                <w:i w:val="0"/>
                <w:color w:val="0B2545"/>
                <w:sz w:val="19"/>
              </w:rPr>
              <w:t>PR evidence needed</w:t>
            </w:r>
          </w:p>
        </w:tc>
      </w:tr>
      <w:tr>
        <w:tc>
          <w:tcPr>
            <w:tcW w:type="dxa" w:w="500"/>
            <w:tcMar>
              <w:top w:w="80" w:type="dxa"/>
              <w:start w:w="120" w:type="dxa"/>
              <w:bottom w:w="80" w:type="dxa"/>
              <w:end w:w="120" w:type="dxa"/>
            </w:tcMar>
          </w:tcPr>
          <w:p>
            <w:pPr>
              <w:spacing w:before="0" w:after="0" w:line="252" w:lineRule="auto"/>
              <w:jc w:val="left"/>
            </w:pPr>
            <w:r/>
            <w:r>
              <w:rPr>
                <w:rFonts w:ascii="Arial" w:hAnsi="Arial"/>
                <w:b w:val="0"/>
                <w:i w:val="0"/>
                <w:color w:val="1F2937"/>
                <w:sz w:val="18"/>
              </w:rPr>
              <w:t>1</w:t>
            </w:r>
          </w:p>
        </w:tc>
        <w:tc>
          <w:tcPr>
            <w:tcW w:type="dxa" w:w="2300"/>
            <w:tcMar>
              <w:top w:w="80" w:type="dxa"/>
              <w:start w:w="120" w:type="dxa"/>
              <w:bottom w:w="80" w:type="dxa"/>
              <w:end w:w="120" w:type="dxa"/>
            </w:tcMar>
          </w:tcPr>
          <w:p>
            <w:pPr>
              <w:spacing w:before="0" w:after="0" w:line="252" w:lineRule="auto"/>
              <w:jc w:val="left"/>
            </w:pPr>
            <w:r/>
            <w:r>
              <w:rPr>
                <w:rFonts w:ascii="Arial" w:hAnsi="Arial"/>
                <w:b w:val="0"/>
                <w:i w:val="0"/>
                <w:color w:val="1F2937"/>
                <w:sz w:val="18"/>
              </w:rPr>
              <w:t>Attach exact PR evidence</w:t>
            </w:r>
          </w:p>
        </w:tc>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Developer</w:t>
            </w:r>
          </w:p>
        </w:tc>
        <w:tc>
          <w:tcPr>
            <w:tcW w:type="dxa" w:w="4360"/>
            <w:tcMar>
              <w:top w:w="80" w:type="dxa"/>
              <w:start w:w="120" w:type="dxa"/>
              <w:bottom w:w="80" w:type="dxa"/>
              <w:end w:w="120" w:type="dxa"/>
            </w:tcMar>
          </w:tcPr>
          <w:p>
            <w:pPr>
              <w:spacing w:before="0" w:after="0" w:line="252" w:lineRule="auto"/>
              <w:jc w:val="left"/>
            </w:pPr>
            <w:r/>
            <w:r>
              <w:rPr>
                <w:rFonts w:ascii="Arial" w:hAnsi="Arial"/>
                <w:b w:val="0"/>
                <w:i w:val="0"/>
                <w:color w:val="1F2937"/>
                <w:sz w:val="18"/>
              </w:rPr>
              <w:t>PR URL, base/head refs, commit SHA, nine changed files, and per-file patch.</w:t>
            </w:r>
          </w:p>
        </w:tc>
      </w:tr>
      <w:tr>
        <w:tc>
          <w:tcPr>
            <w:tcW w:type="dxa" w:w="500"/>
            <w:tcMar>
              <w:top w:w="80" w:type="dxa"/>
              <w:start w:w="120" w:type="dxa"/>
              <w:bottom w:w="80" w:type="dxa"/>
              <w:end w:w="120" w:type="dxa"/>
            </w:tcMar>
          </w:tcPr>
          <w:p>
            <w:pPr>
              <w:spacing w:before="0" w:after="0" w:line="252" w:lineRule="auto"/>
              <w:jc w:val="left"/>
            </w:pPr>
            <w:r/>
            <w:r>
              <w:rPr>
                <w:rFonts w:ascii="Arial" w:hAnsi="Arial"/>
                <w:b w:val="0"/>
                <w:i w:val="0"/>
                <w:color w:val="1F2937"/>
                <w:sz w:val="18"/>
              </w:rPr>
              <w:t>2</w:t>
            </w:r>
          </w:p>
        </w:tc>
        <w:tc>
          <w:tcPr>
            <w:tcW w:type="dxa" w:w="2300"/>
            <w:tcMar>
              <w:top w:w="80" w:type="dxa"/>
              <w:start w:w="120" w:type="dxa"/>
              <w:bottom w:w="80" w:type="dxa"/>
              <w:end w:w="120" w:type="dxa"/>
            </w:tcMar>
          </w:tcPr>
          <w:p>
            <w:pPr>
              <w:spacing w:before="0" w:after="0" w:line="252" w:lineRule="auto"/>
              <w:jc w:val="left"/>
            </w:pPr>
            <w:r/>
            <w:r>
              <w:rPr>
                <w:rFonts w:ascii="Arial" w:hAnsi="Arial"/>
                <w:b w:val="0"/>
                <w:i w:val="0"/>
                <w:color w:val="1F2937"/>
                <w:sz w:val="18"/>
              </w:rPr>
              <w:t>Resolve MDU Tenant identity</w:t>
            </w:r>
          </w:p>
        </w:tc>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Developer / Product Owner</w:t>
            </w:r>
          </w:p>
        </w:tc>
        <w:tc>
          <w:tcPr>
            <w:tcW w:type="dxa" w:w="4360"/>
            <w:tcMar>
              <w:top w:w="80" w:type="dxa"/>
              <w:start w:w="120" w:type="dxa"/>
              <w:bottom w:w="80" w:type="dxa"/>
              <w:end w:w="120" w:type="dxa"/>
            </w:tcMar>
          </w:tcPr>
          <w:p>
            <w:pPr>
              <w:spacing w:before="0" w:after="0" w:line="252" w:lineRule="auto"/>
              <w:jc w:val="left"/>
            </w:pPr>
            <w:r/>
            <w:r>
              <w:rPr>
                <w:rFonts w:ascii="Arial" w:hAnsi="Arial"/>
                <w:b w:val="0"/>
                <w:i w:val="0"/>
                <w:color w:val="1F2937"/>
                <w:sz w:val="18"/>
              </w:rPr>
              <w:t>Authoritative field and runtime order context; exact value, case, null, and mixed-order behavior.</w:t>
            </w:r>
          </w:p>
        </w:tc>
      </w:tr>
      <w:tr>
        <w:tc>
          <w:tcPr>
            <w:tcW w:type="dxa" w:w="500"/>
            <w:tcMar>
              <w:top w:w="80" w:type="dxa"/>
              <w:start w:w="120" w:type="dxa"/>
              <w:bottom w:w="80" w:type="dxa"/>
              <w:end w:w="120" w:type="dxa"/>
            </w:tcMar>
          </w:tcPr>
          <w:p>
            <w:pPr>
              <w:spacing w:before="0" w:after="0" w:line="252" w:lineRule="auto"/>
              <w:jc w:val="left"/>
            </w:pPr>
            <w:r/>
            <w:r>
              <w:rPr>
                <w:rFonts w:ascii="Arial" w:hAnsi="Arial"/>
                <w:b w:val="0"/>
                <w:i w:val="0"/>
                <w:color w:val="1F2937"/>
                <w:sz w:val="18"/>
              </w:rPr>
              <w:t>3</w:t>
            </w:r>
          </w:p>
        </w:tc>
        <w:tc>
          <w:tcPr>
            <w:tcW w:type="dxa" w:w="2300"/>
            <w:tcMar>
              <w:top w:w="80" w:type="dxa"/>
              <w:start w:w="120" w:type="dxa"/>
              <w:bottom w:w="80" w:type="dxa"/>
              <w:end w:w="120" w:type="dxa"/>
            </w:tcMar>
          </w:tcPr>
          <w:p>
            <w:pPr>
              <w:spacing w:before="0" w:after="0" w:line="252" w:lineRule="auto"/>
              <w:jc w:val="left"/>
            </w:pPr>
            <w:r/>
            <w:r>
              <w:rPr>
                <w:rFonts w:ascii="Arial" w:hAnsi="Arial"/>
                <w:b w:val="0"/>
                <w:i w:val="0"/>
                <w:color w:val="1F2937"/>
                <w:sz w:val="18"/>
              </w:rPr>
              <w:t>Prove additive logic</w:t>
            </w:r>
          </w:p>
        </w:tc>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Developer</w:t>
            </w:r>
          </w:p>
        </w:tc>
        <w:tc>
          <w:tcPr>
            <w:tcW w:type="dxa" w:w="4360"/>
            <w:tcMar>
              <w:top w:w="80" w:type="dxa"/>
              <w:start w:w="120" w:type="dxa"/>
              <w:bottom w:w="80" w:type="dxa"/>
              <w:end w:w="120" w:type="dxa"/>
            </w:tcMar>
          </w:tcPr>
          <w:p>
            <w:pPr>
              <w:spacing w:before="0" w:after="0" w:line="252" w:lineRule="auto"/>
              <w:jc w:val="left"/>
            </w:pPr>
            <w:r/>
            <w:r>
              <w:rPr>
                <w:rFonts w:ascii="Arial" w:hAnsi="Arial"/>
                <w:b w:val="0"/>
                <w:i w:val="0"/>
                <w:color w:val="1F2937"/>
                <w:sz w:val="18"/>
              </w:rPr>
              <w:t>Before/after ConditionData for all five items showing ExistingCondition AND NOT(IsMDUTenant).</w:t>
            </w:r>
          </w:p>
        </w:tc>
      </w:tr>
      <w:tr>
        <w:tc>
          <w:tcPr>
            <w:tcW w:type="dxa" w:w="500"/>
            <w:tcMar>
              <w:top w:w="80" w:type="dxa"/>
              <w:start w:w="120" w:type="dxa"/>
              <w:bottom w:w="80" w:type="dxa"/>
              <w:end w:w="120" w:type="dxa"/>
            </w:tcMar>
          </w:tcPr>
          <w:p>
            <w:pPr>
              <w:spacing w:before="0" w:after="0" w:line="252" w:lineRule="auto"/>
              <w:jc w:val="left"/>
            </w:pPr>
            <w:r/>
            <w:r>
              <w:rPr>
                <w:rFonts w:ascii="Arial" w:hAnsi="Arial"/>
                <w:b w:val="0"/>
                <w:i w:val="0"/>
                <w:color w:val="1F2937"/>
                <w:sz w:val="18"/>
              </w:rPr>
              <w:t>4</w:t>
            </w:r>
          </w:p>
        </w:tc>
        <w:tc>
          <w:tcPr>
            <w:tcW w:type="dxa" w:w="2300"/>
            <w:tcMar>
              <w:top w:w="80" w:type="dxa"/>
              <w:start w:w="120" w:type="dxa"/>
              <w:bottom w:w="80" w:type="dxa"/>
              <w:end w:w="120" w:type="dxa"/>
            </w:tcMar>
          </w:tcPr>
          <w:p>
            <w:pPr>
              <w:spacing w:before="0" w:after="0" w:line="252" w:lineRule="auto"/>
              <w:jc w:val="left"/>
            </w:pPr>
            <w:r/>
            <w:r>
              <w:rPr>
                <w:rFonts w:ascii="Arial" w:hAnsi="Arial"/>
                <w:b w:val="0"/>
                <w:i w:val="0"/>
                <w:color w:val="1F2937"/>
                <w:sz w:val="18"/>
              </w:rPr>
              <w:t>Prove dependency preservation</w:t>
            </w:r>
          </w:p>
        </w:tc>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Developer / Reviewer</w:t>
            </w:r>
          </w:p>
        </w:tc>
        <w:tc>
          <w:tcPr>
            <w:tcW w:type="dxa" w:w="4360"/>
            <w:tcMar>
              <w:top w:w="80" w:type="dxa"/>
              <w:start w:w="120" w:type="dxa"/>
              <w:bottom w:w="80" w:type="dxa"/>
              <w:end w:w="120" w:type="dxa"/>
            </w:tcMar>
          </w:tcPr>
          <w:p>
            <w:pPr>
              <w:spacing w:before="0" w:after="0" w:line="252" w:lineRule="auto"/>
              <w:jc w:val="left"/>
            </w:pPr>
            <w:r/>
            <w:r>
              <w:rPr>
                <w:rFonts w:ascii="Arial" w:hAnsi="Arial"/>
                <w:b w:val="0"/>
                <w:i w:val="0"/>
                <w:color w:val="1F2937"/>
                <w:sz w:val="18"/>
              </w:rPr>
              <w:t>Unchanged GlobalKeys, IsSkipBranch=false, stable ParentKeys, and no downstream branch removal.</w:t>
            </w:r>
          </w:p>
        </w:tc>
      </w:tr>
      <w:tr>
        <w:tc>
          <w:tcPr>
            <w:tcW w:type="dxa" w:w="500"/>
            <w:tcMar>
              <w:top w:w="80" w:type="dxa"/>
              <w:start w:w="120" w:type="dxa"/>
              <w:bottom w:w="80" w:type="dxa"/>
              <w:end w:w="120" w:type="dxa"/>
            </w:tcMar>
          </w:tcPr>
          <w:p>
            <w:pPr>
              <w:spacing w:before="0" w:after="0" w:line="252" w:lineRule="auto"/>
              <w:jc w:val="left"/>
            </w:pPr>
            <w:r/>
            <w:r>
              <w:rPr>
                <w:rFonts w:ascii="Arial" w:hAnsi="Arial"/>
                <w:b w:val="0"/>
                <w:i w:val="0"/>
                <w:color w:val="1F2937"/>
                <w:sz w:val="18"/>
              </w:rPr>
              <w:t>5</w:t>
            </w:r>
          </w:p>
        </w:tc>
        <w:tc>
          <w:tcPr>
            <w:tcW w:type="dxa" w:w="2300"/>
            <w:tcMar>
              <w:top w:w="80" w:type="dxa"/>
              <w:start w:w="120" w:type="dxa"/>
              <w:bottom w:w="80" w:type="dxa"/>
              <w:end w:w="120" w:type="dxa"/>
            </w:tcMar>
          </w:tcPr>
          <w:p>
            <w:pPr>
              <w:spacing w:before="0" w:after="0" w:line="252" w:lineRule="auto"/>
              <w:jc w:val="left"/>
            </w:pPr>
            <w:r/>
            <w:r>
              <w:rPr>
                <w:rFonts w:ascii="Arial" w:hAnsi="Arial"/>
                <w:b w:val="0"/>
                <w:i w:val="0"/>
                <w:color w:val="1F2937"/>
                <w:sz w:val="18"/>
              </w:rPr>
              <w:t>Remove unrelated drift</w:t>
            </w:r>
          </w:p>
        </w:tc>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Developer</w:t>
            </w:r>
          </w:p>
        </w:tc>
        <w:tc>
          <w:tcPr>
            <w:tcW w:type="dxa" w:w="4360"/>
            <w:tcMar>
              <w:top w:w="80" w:type="dxa"/>
              <w:start w:w="120" w:type="dxa"/>
              <w:bottom w:w="80" w:type="dxa"/>
              <w:end w:w="120" w:type="dxa"/>
            </w:tcMar>
          </w:tcPr>
          <w:p>
            <w:pPr>
              <w:spacing w:before="0" w:after="0" w:line="252" w:lineRule="auto"/>
              <w:jc w:val="left"/>
            </w:pPr>
            <w:r/>
            <w:r>
              <w:rPr>
                <w:rFonts w:ascii="Arial" w:hAnsi="Arial"/>
                <w:b w:val="0"/>
                <w:i w:val="0"/>
                <w:color w:val="1F2937"/>
                <w:sz w:val="18"/>
              </w:rPr>
              <w:t>PR contains only SCC-4486 DataPack/ParentKeys changes and no regenerated IDs or environment-specific values.</w:t>
            </w:r>
          </w:p>
        </w:tc>
      </w:tr>
      <w:tr>
        <w:tc>
          <w:tcPr>
            <w:tcW w:type="dxa" w:w="500"/>
            <w:tcMar>
              <w:top w:w="80" w:type="dxa"/>
              <w:start w:w="120" w:type="dxa"/>
              <w:bottom w:w="80" w:type="dxa"/>
              <w:end w:w="120" w:type="dxa"/>
            </w:tcMar>
          </w:tcPr>
          <w:p>
            <w:pPr>
              <w:spacing w:before="0" w:after="0" w:line="252" w:lineRule="auto"/>
              <w:jc w:val="left"/>
            </w:pPr>
            <w:r/>
            <w:r>
              <w:rPr>
                <w:rFonts w:ascii="Arial" w:hAnsi="Arial"/>
                <w:b w:val="0"/>
                <w:i w:val="0"/>
                <w:color w:val="1F2937"/>
                <w:sz w:val="18"/>
              </w:rPr>
              <w:t>6</w:t>
            </w:r>
          </w:p>
        </w:tc>
        <w:tc>
          <w:tcPr>
            <w:tcW w:type="dxa" w:w="2300"/>
            <w:tcMar>
              <w:top w:w="80" w:type="dxa"/>
              <w:start w:w="120" w:type="dxa"/>
              <w:bottom w:w="80" w:type="dxa"/>
              <w:end w:w="120" w:type="dxa"/>
            </w:tcMar>
          </w:tcPr>
          <w:p>
            <w:pPr>
              <w:spacing w:before="0" w:after="0" w:line="252" w:lineRule="auto"/>
              <w:jc w:val="left"/>
            </w:pPr>
            <w:r/>
            <w:r>
              <w:rPr>
                <w:rFonts w:ascii="Arial" w:hAnsi="Arial"/>
                <w:b w:val="0"/>
                <w:i w:val="0"/>
                <w:color w:val="1F2937"/>
                <w:sz w:val="18"/>
              </w:rPr>
              <w:t>Re-review</w:t>
            </w:r>
          </w:p>
        </w:tc>
        <w:tc>
          <w:tcPr>
            <w:tcW w:type="dxa" w:w="2200"/>
            <w:tcMar>
              <w:top w:w="80" w:type="dxa"/>
              <w:start w:w="120" w:type="dxa"/>
              <w:bottom w:w="80" w:type="dxa"/>
              <w:end w:w="120" w:type="dxa"/>
            </w:tcMar>
          </w:tcPr>
          <w:p>
            <w:pPr>
              <w:spacing w:before="0" w:after="0" w:line="252" w:lineRule="auto"/>
              <w:jc w:val="left"/>
            </w:pPr>
            <w:r/>
            <w:r>
              <w:rPr>
                <w:rFonts w:ascii="Arial" w:hAnsi="Arial"/>
                <w:b w:val="0"/>
                <w:i w:val="0"/>
                <w:color w:val="1F2937"/>
                <w:sz w:val="18"/>
              </w:rPr>
              <w:t>Peer Reviewer</w:t>
            </w:r>
          </w:p>
        </w:tc>
        <w:tc>
          <w:tcPr>
            <w:tcW w:type="dxa" w:w="4360"/>
            <w:tcMar>
              <w:top w:w="80" w:type="dxa"/>
              <w:start w:w="120" w:type="dxa"/>
              <w:bottom w:w="80" w:type="dxa"/>
              <w:end w:w="120" w:type="dxa"/>
            </w:tcMar>
          </w:tcPr>
          <w:p>
            <w:pPr>
              <w:spacing w:before="0" w:after="0" w:line="252" w:lineRule="auto"/>
              <w:jc w:val="left"/>
            </w:pPr>
            <w:r/>
            <w:r>
              <w:rPr>
                <w:rFonts w:ascii="Arial" w:hAnsi="Arial"/>
                <w:b w:val="0"/>
                <w:i w:val="0"/>
                <w:color w:val="1F2937"/>
                <w:sz w:val="18"/>
              </w:rPr>
              <w:t>All high findings resolved in the actual patch; then approve PR or request remaining changes.</w:t>
            </w:r>
          </w:p>
        </w:tc>
      </w:tr>
    </w:tbl>
    <w:p>
      <w:pPr>
        <w:spacing w:after="20"/>
      </w:pPr>
    </w:p>
    <w:p>
      <w:pPr>
        <w:pStyle w:val="Heading2"/>
        <w:keepNext/>
      </w:pPr>
      <w:r>
        <w:t>Ready-to-paste PR review response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A"/>
          </w:tcPr>
          <w:p>
            <w:pPr>
              <w:spacing w:after="40"/>
            </w:pPr>
            <w:r>
              <w:rPr>
                <w:rFonts w:ascii="Arial" w:hAnsi="Arial"/>
                <w:b/>
                <w:i w:val="0"/>
                <w:color w:val="2E74B5"/>
                <w:sz w:val="18"/>
              </w:rPr>
              <w:t>PR COMMENT</w:t>
            </w:r>
          </w:p>
          <w:p>
            <w:pPr>
              <w:spacing w:after="0" w:line="259" w:lineRule="auto"/>
            </w:pPr>
            <w:r>
              <w:rPr>
                <w:rFonts w:ascii="Arial" w:hAnsi="Arial"/>
                <w:b/>
                <w:i w:val="0"/>
                <w:color w:val="0B2545"/>
                <w:sz w:val="22"/>
              </w:rPr>
              <w:t>PR review completed for SCC-4486. Changes Requested. The story targets five Internet Plan manual tasks: Book Appointment; Triage, Prep-Work &amp; Sitewalk; Notify 811; Install Drop; and Splice and Cutover Drop. The PR URL/diff and nine named files were not available, so the changed ConditionData and ParentKeys cannot be approved. Before re-review, identify the authoritative MDU Tenant field and runtime order context, add the tenant exclusion as ExistingCondition AND NOT(IsMDUTenant) on all five items, preserve each existing appointment/drop condition, keep IsSkipBranch=false, retain all GlobalKeys and dependency keys, and remove unrelated or environment-specific JSON drift. Also confirm blank, case-sensitive, parent/child-order, mixed-order-item, and Product2 path behavior. This is PR review only: no IT test, UAT execution, deployment, activation, record write, or org metadata change was performed.</w:t>
            </w:r>
          </w:p>
        </w:tc>
        <w:trPr>
          <w:tblHeader/>
        </w:trPr>
      </w:tr>
    </w:tbl>
    <w:p>
      <w:pPr>
        <w:spacing w:after="20"/>
      </w:pP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GreatPlainsMerge  |  Page </w:t>
    </w:r>
    <w:r>
      <w:rPr>
        <w:rFonts w:ascii="Arial" w:hAnsi="Arial"/>
        <w:b w:val="0"/>
        <w:i w:val="0"/>
        <w:color w:val="5B6777"/>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GreatPlainsMerge  |  Page </w:t>
    </w:r>
    <w:r>
      <w:rPr>
        <w:rFonts w:ascii="Arial" w:hAnsi="Arial"/>
        <w:b w:val="0"/>
        <w:i w:val="0"/>
        <w:color w:val="5B6777"/>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GreatPlainsMerge  |  Page </w:t>
    </w:r>
    <w:r>
      <w:rPr>
        <w:rFonts w:ascii="Arial" w:hAnsi="Arial"/>
        <w:b w:val="0"/>
        <w:i w:val="0"/>
        <w:color w:val="5B6777"/>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SCC-4486 Skip Book Appointment and Drop Tasks PR Review</dc:title>
  <dc:subject>OmniStudio orchestration peer review</dc:subject>
  <dc:creator>Peer Review</dc:creator>
  <cp:keywords>Salesforce, Great Plains, SCC-4486, OmniStudio, orchestration, DataPack, PR review</cp:keywords>
  <dc:description>generated by python-docx</dc:description>
  <cp:lastModifiedBy/>
  <cp:revision>1</cp:revision>
  <dcterms:created xsi:type="dcterms:W3CDTF">2013-12-23T23:15:00Z</dcterms:created>
  <dcterms:modified xsi:type="dcterms:W3CDTF">2013-12-23T23:15:00Z</dcterms:modified>
  <cp:category/>
</cp:coreProperties>
</file>