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2"/>
        </w:rPr>
        <w:t>Trouble Ticket Story</w:t>
      </w:r>
    </w:p>
    <w:p>
      <w:pPr>
        <w:spacing w:after="320"/>
      </w:pPr>
      <w:r>
        <w:rPr>
          <w:rFonts w:ascii="Arial" w:hAnsi="Arial"/>
          <w:b w:val="0"/>
          <w:i w:val="0"/>
          <w:color w:val="5B6777"/>
          <w:sz w:val="26"/>
        </w:rPr>
        <w:t>Great Plains Merge Sandbox | Read-only dry-run and readiness assessment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GreatPlainsMerge (Sandbox)</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Role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Solution Architect review</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Assessment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26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Conditional approval - changes requested</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No record creation, deployment, activation, or metadata changes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6DE"/>
          </w:tcPr>
          <w:p>
            <w:pPr>
              <w:spacing w:after="40"/>
            </w:pPr>
            <w:r>
              <w:rPr>
                <w:rFonts w:ascii="Arial" w:hAnsi="Arial"/>
                <w:b/>
                <w:i w:val="0"/>
                <w:color w:val="B7791F"/>
                <w:sz w:val="18"/>
              </w:rPr>
              <w:t>ARCHITECT DECISION</w:t>
            </w:r>
          </w:p>
          <w:p>
            <w:pPr>
              <w:spacing w:after="0" w:line="259" w:lineRule="auto"/>
            </w:pPr>
            <w:r>
              <w:rPr>
                <w:rFonts w:ascii="Arial" w:hAnsi="Arial"/>
                <w:b/>
                <w:i w:val="0"/>
                <w:color w:val="0B2545"/>
                <w:sz w:val="22"/>
              </w:rPr>
              <w:t>Do not promote yet. The core configuration is present, but user-access, Priority field security, Fixed Wireless mapping, and spreadsheet parity require closure.</w:t>
            </w:r>
          </w:p>
        </w:tc>
      </w:tr>
    </w:tbl>
    <w:p>
      <w:pPr>
        <w:spacing w:after="20"/>
      </w:pPr>
    </w:p>
    <w:p>
      <w:pPr>
        <w:pStyle w:val="Heading1"/>
        <w:keepNext/>
      </w:pPr>
      <w:r>
        <w:t>Acceptance test outcome</w:t>
      </w:r>
    </w:p>
    <w:tbl>
      <w:tblPr>
        <w:tblStyle w:val="TableGrid"/>
        <w:tblW w:type="dxa" w:w="9360"/>
        <w:jc w:val="left"/>
        <w:tblLayout w:type="fixed"/>
        <w:tblLook w:firstColumn="1" w:firstRow="1" w:lastColumn="0" w:lastRow="0" w:noHBand="0" w:noVBand="1" w:val="04A0"/>
        <w:tblInd w:w="120" w:type="dxa"/>
      </w:tblPr>
      <w:tblGrid>
        <w:gridCol w:w="650"/>
        <w:gridCol w:w="2400"/>
        <w:gridCol w:w="1750"/>
        <w:gridCol w:w="4560"/>
      </w:tblGrid>
      <w:tr>
        <w:trPr>
          <w:tblHeader w:val="true"/>
        </w:trPr>
        <w:tc>
          <w:tcPr>
            <w:tcW w:type="dxa" w:w="6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TC</w:t>
            </w:r>
          </w:p>
        </w:tc>
        <w:tc>
          <w:tcPr>
            <w:tcW w:type="dxa" w:w="24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45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650"/>
          </w:tcPr>
          <w:p>
            <w:pPr>
              <w:spacing w:before="0" w:after="0" w:line="252" w:lineRule="auto"/>
              <w:jc w:val="left"/>
            </w:pPr>
            <w:r/>
            <w:r>
              <w:rPr>
                <w:rFonts w:ascii="Arial" w:hAnsi="Arial"/>
                <w:b w:val="0"/>
                <w:i w:val="0"/>
                <w:color w:val="1F2937"/>
                <w:sz w:val="18"/>
              </w:rPr>
              <w:t>1</w:t>
            </w:r>
          </w:p>
        </w:tc>
        <w:tc>
          <w:tcPr>
            <w:tcW w:type="dxa" w:w="2400"/>
          </w:tcPr>
          <w:p>
            <w:pPr>
              <w:spacing w:before="0" w:after="0" w:line="252" w:lineRule="auto"/>
              <w:jc w:val="left"/>
            </w:pPr>
            <w:r/>
            <w:r>
              <w:rPr>
                <w:rFonts w:ascii="Arial" w:hAnsi="Arial"/>
                <w:b w:val="0"/>
                <w:i w:val="0"/>
                <w:color w:val="1F2937"/>
                <w:sz w:val="18"/>
              </w:rPr>
              <w:t>Trouble Ticket record type</w:t>
            </w:r>
          </w:p>
        </w:tc>
        <w:tc>
          <w:tcPr>
            <w:tcW w:type="dxa" w:w="1750"/>
            <w:shd w:fill="E7F5F1"/>
          </w:tcPr>
          <w:p>
            <w:pPr>
              <w:spacing w:before="0" w:after="0" w:line="252" w:lineRule="auto"/>
              <w:jc w:val="center"/>
            </w:pPr>
            <w:r/>
            <w:r>
              <w:rPr>
                <w:rFonts w:ascii="Arial" w:hAnsi="Arial"/>
                <w:b/>
                <w:i w:val="0"/>
                <w:color w:val="16836B"/>
                <w:sz w:val="19"/>
              </w:rPr>
              <w:t>Pass - current admin</w:t>
            </w:r>
          </w:p>
        </w:tc>
        <w:tc>
          <w:tcPr>
            <w:tcW w:type="dxa" w:w="4560"/>
          </w:tcPr>
          <w:p>
            <w:pPr>
              <w:spacing w:before="0" w:after="0" w:line="252" w:lineRule="auto"/>
              <w:jc w:val="left"/>
            </w:pPr>
            <w:r/>
            <w:r>
              <w:rPr>
                <w:rFonts w:ascii="Arial" w:hAnsi="Arial"/>
                <w:b w:val="0"/>
                <w:i w:val="0"/>
                <w:color w:val="1F2937"/>
                <w:sz w:val="18"/>
              </w:rPr>
              <w:t>Active, available, default, and mapped to the dedicated layout for the connected administrator.</w:t>
            </w:r>
          </w:p>
        </w:tc>
      </w:tr>
      <w:tr>
        <w:tc>
          <w:tcPr>
            <w:tcW w:type="dxa" w:w="650"/>
          </w:tcPr>
          <w:p>
            <w:pPr>
              <w:spacing w:before="0" w:after="0" w:line="252" w:lineRule="auto"/>
              <w:jc w:val="left"/>
            </w:pPr>
            <w:r/>
            <w:r>
              <w:rPr>
                <w:rFonts w:ascii="Arial" w:hAnsi="Arial"/>
                <w:b w:val="0"/>
                <w:i w:val="0"/>
                <w:color w:val="1F2937"/>
                <w:sz w:val="18"/>
              </w:rPr>
              <w:t>2</w:t>
            </w:r>
          </w:p>
        </w:tc>
        <w:tc>
          <w:tcPr>
            <w:tcW w:type="dxa" w:w="2400"/>
          </w:tcPr>
          <w:p>
            <w:pPr>
              <w:spacing w:before="0" w:after="0" w:line="252" w:lineRule="auto"/>
              <w:jc w:val="left"/>
            </w:pPr>
            <w:r/>
            <w:r>
              <w:rPr>
                <w:rFonts w:ascii="Arial" w:hAnsi="Arial"/>
                <w:b w:val="0"/>
                <w:i w:val="0"/>
                <w:color w:val="1F2937"/>
                <w:sz w:val="18"/>
              </w:rPr>
              <w:t>Layout and required fields</w:t>
            </w:r>
          </w:p>
        </w:tc>
        <w:tc>
          <w:tcPr>
            <w:tcW w:type="dxa" w:w="1750"/>
            <w:shd w:fill="FFF6DE"/>
          </w:tcPr>
          <w:p>
            <w:pPr>
              <w:spacing w:before="0" w:after="0" w:line="252" w:lineRule="auto"/>
              <w:jc w:val="center"/>
            </w:pPr>
            <w:r/>
            <w:r>
              <w:rPr>
                <w:rFonts w:ascii="Arial" w:hAnsi="Arial"/>
                <w:b/>
                <w:i w:val="0"/>
                <w:color w:val="B7791F"/>
                <w:sz w:val="19"/>
              </w:rPr>
              <w:t>Partial pass</w:t>
            </w:r>
          </w:p>
        </w:tc>
        <w:tc>
          <w:tcPr>
            <w:tcW w:type="dxa" w:w="4560"/>
          </w:tcPr>
          <w:p>
            <w:pPr>
              <w:spacing w:before="0" w:after="0" w:line="252" w:lineRule="auto"/>
              <w:jc w:val="left"/>
            </w:pPr>
            <w:r/>
            <w:r>
              <w:rPr>
                <w:rFonts w:ascii="Arial" w:hAnsi="Arial"/>
                <w:b w:val="0"/>
                <w:i w:val="0"/>
                <w:color w:val="1F2937"/>
                <w:sz w:val="18"/>
              </w:rPr>
              <w:t>Requested fields exist, but Priority__c is hidden and the layout contains additional unrequested sections/fields.</w:t>
            </w:r>
          </w:p>
        </w:tc>
      </w:tr>
      <w:tr>
        <w:tc>
          <w:tcPr>
            <w:tcW w:type="dxa" w:w="650"/>
          </w:tcPr>
          <w:p>
            <w:pPr>
              <w:spacing w:before="0" w:after="0" w:line="252" w:lineRule="auto"/>
              <w:jc w:val="left"/>
            </w:pPr>
            <w:r/>
            <w:r>
              <w:rPr>
                <w:rFonts w:ascii="Arial" w:hAnsi="Arial"/>
                <w:b w:val="0"/>
                <w:i w:val="0"/>
                <w:color w:val="1F2937"/>
                <w:sz w:val="18"/>
              </w:rPr>
              <w:t>3</w:t>
            </w:r>
          </w:p>
        </w:tc>
        <w:tc>
          <w:tcPr>
            <w:tcW w:type="dxa" w:w="2400"/>
          </w:tcPr>
          <w:p>
            <w:pPr>
              <w:spacing w:before="0" w:after="0" w:line="252" w:lineRule="auto"/>
              <w:jc w:val="left"/>
            </w:pPr>
            <w:r/>
            <w:r>
              <w:rPr>
                <w:rFonts w:ascii="Arial" w:hAnsi="Arial"/>
                <w:b w:val="0"/>
                <w:i w:val="0"/>
                <w:color w:val="1F2937"/>
                <w:sz w:val="18"/>
              </w:rPr>
              <w:t>Dependent picklists</w:t>
            </w:r>
          </w:p>
        </w:tc>
        <w:tc>
          <w:tcPr>
            <w:tcW w:type="dxa" w:w="1750"/>
            <w:shd w:fill="FDECEC"/>
          </w:tcPr>
          <w:p>
            <w:pPr>
              <w:spacing w:before="0" w:after="0" w:line="252" w:lineRule="auto"/>
              <w:jc w:val="center"/>
            </w:pPr>
            <w:r/>
            <w:r>
              <w:rPr>
                <w:rFonts w:ascii="Arial" w:hAnsi="Arial"/>
                <w:b/>
                <w:i w:val="0"/>
                <w:color w:val="C53030"/>
                <w:sz w:val="19"/>
              </w:rPr>
              <w:t>Partial fail</w:t>
            </w:r>
          </w:p>
        </w:tc>
        <w:tc>
          <w:tcPr>
            <w:tcW w:type="dxa" w:w="4560"/>
          </w:tcPr>
          <w:p>
            <w:pPr>
              <w:spacing w:before="0" w:after="0" w:line="252" w:lineRule="auto"/>
              <w:jc w:val="left"/>
            </w:pPr>
            <w:r/>
            <w:r>
              <w:rPr>
                <w:rFonts w:ascii="Arial" w:hAnsi="Arial"/>
                <w:b w:val="0"/>
                <w:i w:val="0"/>
                <w:color w:val="1F2937"/>
                <w:sz w:val="18"/>
              </w:rPr>
              <w:t>Both chains exist; Fixed Wireless has zero Subscriber Report choices and exact workbook parity is unverified.</w:t>
            </w:r>
          </w:p>
        </w:tc>
      </w:tr>
    </w:tbl>
    <w:p>
      <w:pPr>
        <w:spacing w:after="20"/>
      </w:pPr>
    </w:p>
    <w:p>
      <w:pPr>
        <w:pStyle w:val="Heading2"/>
        <w:keepNext/>
      </w:pPr>
      <w:r>
        <w:t>Approval position</w:t>
      </w:r>
    </w:p>
    <w:p>
      <w:pPr>
        <w:spacing w:after="120" w:line="264" w:lineRule="auto"/>
      </w:pPr>
      <w:r>
        <w:rPr>
          <w:rFonts w:ascii="Arial" w:hAnsi="Arial"/>
          <w:b/>
          <w:i w:val="0"/>
          <w:color w:val="1F2937"/>
          <w:sz w:val="22"/>
        </w:rPr>
        <w:t>Recommended status:</w:t>
      </w:r>
      <w:r>
        <w:rPr>
          <w:rFonts w:ascii="Arial" w:hAnsi="Arial"/>
          <w:b w:val="0"/>
          <w:i w:val="0"/>
          <w:color w:val="1F2937"/>
          <w:sz w:val="22"/>
        </w:rPr>
        <w:t xml:space="preserve"> Changes Requested / Conditional Approval.</w:t>
      </w:r>
    </w:p>
    <w:p>
      <w:pPr>
        <w:spacing w:after="120" w:line="264" w:lineRule="auto"/>
      </w:pPr>
      <w:r>
        <w:rPr>
          <w:rFonts w:ascii="Arial" w:hAnsi="Arial"/>
          <w:b w:val="0"/>
          <w:i w:val="0"/>
          <w:color w:val="1F2937"/>
          <w:sz w:val="22"/>
        </w:rPr>
        <w:t>The implementation is structurally close, but an architect sign-off should wait until the four approval gates on page 5 are completed and evidenced.</w:t>
      </w:r>
    </w:p>
    <w:p>
      <w:r>
        <w:br w:type="page"/>
      </w:r>
    </w:p>
    <w:p>
      <w:pPr>
        <w:pStyle w:val="Heading1"/>
        <w:keepNext/>
      </w:pPr>
      <w:r>
        <w:t>Solution overview</w:t>
      </w:r>
    </w:p>
    <w:p>
      <w:pPr>
        <w:spacing w:after="120" w:line="264" w:lineRule="auto"/>
      </w:pPr>
      <w:r>
        <w:rPr>
          <w:rFonts w:ascii="Arial" w:hAnsi="Arial"/>
          <w:b w:val="0"/>
          <w:i w:val="0"/>
          <w:color w:val="1F2937"/>
          <w:sz w:val="22"/>
        </w:rPr>
        <w:t>This board shows how the intended NOC user reaches the Trouble Ticket experience and where the current review gates sit.</w:t>
      </w:r>
    </w:p>
    <w:p>
      <w:pPr>
        <w:keepNext/>
        <w:jc w:val="center"/>
      </w:pPr>
      <w:r>
        <w:drawing>
          <wp:inline xmlns:a="http://schemas.openxmlformats.org/drawingml/2006/main" xmlns:pic="http://schemas.openxmlformats.org/drawingml/2006/picture">
            <wp:extent cx="5897880" cy="3669792"/>
            <wp:docPr id="1" name="Picture 1" title="Figure 1. Figma-style architect review board" descr="Diagram showing NOC user access through profiles into the Trouble Ticket Case record type and layout, followed by Service Type, Subscriber Report, and Primary Resolution dependencies. Four approval gates are highlighted: NOC profile, Priority field security, Fixed Wireless mapping, and workbook comparison."/>
            <wp:cNvGraphicFramePr>
              <a:graphicFrameLocks noChangeAspect="1"/>
            </wp:cNvGraphicFramePr>
            <a:graphic>
              <a:graphicData uri="http://schemas.openxmlformats.org/drawingml/2006/picture">
                <pic:pic>
                  <pic:nvPicPr>
                    <pic:cNvPr id="0" name="figma-style-architect-board.png"/>
                    <pic:cNvPicPr/>
                  </pic:nvPicPr>
                  <pic:blipFill>
                    <a:blip r:embed="rId15"/>
                    <a:stretch>
                      <a:fillRect/>
                    </a:stretch>
                  </pic:blipFill>
                  <pic:spPr>
                    <a:xfrm>
                      <a:off x="0" y="0"/>
                      <a:ext cx="5897880" cy="3669792"/>
                    </a:xfrm>
                    <a:prstGeom prst="rect"/>
                  </pic:spPr>
                </pic:pic>
              </a:graphicData>
            </a:graphic>
          </wp:inline>
        </w:drawing>
      </w:r>
    </w:p>
    <w:p>
      <w:pPr>
        <w:keepNext/>
        <w:spacing w:before="40" w:after="160"/>
        <w:jc w:val="center"/>
      </w:pPr>
      <w:r>
        <w:rPr>
          <w:rFonts w:ascii="Arial" w:hAnsi="Arial"/>
          <w:b w:val="0"/>
          <w:i/>
          <w:color w:val="5B6777"/>
          <w:sz w:val="18"/>
        </w:rPr>
        <w:t>Figure 1. Figma-style architect review board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Green/blue items are configured. Amber and red items require confirmation or correction before promotion.</w:t>
            </w:r>
          </w:p>
        </w:tc>
      </w:tr>
    </w:tbl>
    <w:p>
      <w:pPr>
        <w:spacing w:after="20"/>
      </w:pPr>
    </w:p>
    <w:p>
      <w:r>
        <w:br w:type="page"/>
      </w:r>
    </w:p>
    <w:p>
      <w:pPr>
        <w:pStyle w:val="Heading1"/>
        <w:keepNext/>
      </w:pPr>
      <w:r>
        <w:t>Detailed architect findings</w:t>
      </w:r>
    </w:p>
    <w:p>
      <w:pPr>
        <w:pStyle w:val="Heading2"/>
        <w:keepNext/>
      </w:pPr>
      <w:r>
        <w:t>1. Record type and access</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Item</w:t>
            </w:r>
          </w:p>
        </w:tc>
        <w:tc>
          <w:tcPr>
            <w:tcW w:type="dxa" w:w="18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Observed</w:t>
            </w:r>
          </w:p>
        </w:tc>
        <w:tc>
          <w:tcPr>
            <w:tcW w:type="dxa" w:w="53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Architect interpretation</w:t>
            </w:r>
          </w:p>
        </w:tc>
      </w:tr>
      <w:tr>
        <w:tc>
          <w:tcPr>
            <w:tcW w:type="dxa" w:w="2200"/>
          </w:tcPr>
          <w:p>
            <w:pPr>
              <w:spacing w:before="0" w:after="0" w:line="252" w:lineRule="auto"/>
              <w:jc w:val="left"/>
            </w:pPr>
            <w:r/>
            <w:r>
              <w:rPr>
                <w:rFonts w:ascii="Arial" w:hAnsi="Arial"/>
                <w:b w:val="0"/>
                <w:i w:val="0"/>
                <w:color w:val="1F2937"/>
                <w:sz w:val="18"/>
              </w:rPr>
              <w:t>Record type</w:t>
            </w:r>
          </w:p>
        </w:tc>
        <w:tc>
          <w:tcPr>
            <w:tcW w:type="dxa" w:w="1800"/>
          </w:tcPr>
          <w:p>
            <w:pPr>
              <w:spacing w:before="0" w:after="0" w:line="252" w:lineRule="auto"/>
              <w:jc w:val="left"/>
            </w:pPr>
            <w:r/>
            <w:r>
              <w:rPr>
                <w:rFonts w:ascii="Arial" w:hAnsi="Arial"/>
                <w:b w:val="0"/>
                <w:i w:val="0"/>
                <w:color w:val="1F2937"/>
                <w:sz w:val="18"/>
              </w:rPr>
              <w:t>Trouble Ticket</w:t>
            </w:r>
          </w:p>
        </w:tc>
        <w:tc>
          <w:tcPr>
            <w:tcW w:type="dxa" w:w="5360"/>
          </w:tcPr>
          <w:p>
            <w:pPr>
              <w:spacing w:before="0" w:after="0" w:line="252" w:lineRule="auto"/>
              <w:jc w:val="left"/>
            </w:pPr>
            <w:r/>
            <w:r>
              <w:rPr>
                <w:rFonts w:ascii="Arial" w:hAnsi="Arial"/>
                <w:b w:val="0"/>
                <w:i w:val="0"/>
                <w:color w:val="1F2937"/>
                <w:sz w:val="18"/>
              </w:rPr>
              <w:t>Active; record type ID 012Ea000007eNrVIAU.</w:t>
            </w:r>
          </w:p>
        </w:tc>
      </w:tr>
      <w:tr>
        <w:tc>
          <w:tcPr>
            <w:tcW w:type="dxa" w:w="2200"/>
          </w:tcPr>
          <w:p>
            <w:pPr>
              <w:spacing w:before="0" w:after="0" w:line="252" w:lineRule="auto"/>
              <w:jc w:val="left"/>
            </w:pPr>
            <w:r/>
            <w:r>
              <w:rPr>
                <w:rFonts w:ascii="Arial" w:hAnsi="Arial"/>
                <w:b w:val="0"/>
                <w:i w:val="0"/>
                <w:color w:val="1F2937"/>
                <w:sz w:val="18"/>
              </w:rPr>
              <w:t>Connected user</w:t>
            </w:r>
          </w:p>
        </w:tc>
        <w:tc>
          <w:tcPr>
            <w:tcW w:type="dxa" w:w="1800"/>
          </w:tcPr>
          <w:p>
            <w:pPr>
              <w:spacing w:before="0" w:after="0" w:line="252" w:lineRule="auto"/>
              <w:jc w:val="left"/>
            </w:pPr>
            <w:r/>
            <w:r>
              <w:rPr>
                <w:rFonts w:ascii="Arial" w:hAnsi="Arial"/>
                <w:b w:val="0"/>
                <w:i w:val="0"/>
                <w:color w:val="1F2937"/>
                <w:sz w:val="18"/>
              </w:rPr>
              <w:t>System Administrator</w:t>
            </w:r>
          </w:p>
        </w:tc>
        <w:tc>
          <w:tcPr>
            <w:tcW w:type="dxa" w:w="5360"/>
          </w:tcPr>
          <w:p>
            <w:pPr>
              <w:spacing w:before="0" w:after="0" w:line="252" w:lineRule="auto"/>
              <w:jc w:val="left"/>
            </w:pPr>
            <w:r/>
            <w:r>
              <w:rPr>
                <w:rFonts w:ascii="Arial" w:hAnsi="Arial"/>
                <w:b w:val="0"/>
                <w:i w:val="0"/>
                <w:color w:val="1F2937"/>
                <w:sz w:val="18"/>
              </w:rPr>
              <w:t>Trouble Ticket is available and the default Case record type.</w:t>
            </w:r>
          </w:p>
        </w:tc>
      </w:tr>
      <w:tr>
        <w:tc>
          <w:tcPr>
            <w:tcW w:type="dxa" w:w="2200"/>
          </w:tcPr>
          <w:p>
            <w:pPr>
              <w:spacing w:before="0" w:after="0" w:line="252" w:lineRule="auto"/>
              <w:jc w:val="left"/>
            </w:pPr>
            <w:r/>
            <w:r>
              <w:rPr>
                <w:rFonts w:ascii="Arial" w:hAnsi="Arial"/>
                <w:b w:val="0"/>
                <w:i w:val="0"/>
                <w:color w:val="1F2937"/>
                <w:sz w:val="18"/>
              </w:rPr>
              <w:t>Dedicated layout</w:t>
            </w:r>
          </w:p>
        </w:tc>
        <w:tc>
          <w:tcPr>
            <w:tcW w:type="dxa" w:w="1800"/>
          </w:tcPr>
          <w:p>
            <w:pPr>
              <w:spacing w:before="0" w:after="0" w:line="252" w:lineRule="auto"/>
              <w:jc w:val="left"/>
            </w:pPr>
            <w:r/>
            <w:r>
              <w:rPr>
                <w:rFonts w:ascii="Arial" w:hAnsi="Arial"/>
                <w:b w:val="0"/>
                <w:i w:val="0"/>
                <w:color w:val="1F2937"/>
                <w:sz w:val="18"/>
              </w:rPr>
              <w:t>3 profiles</w:t>
            </w:r>
          </w:p>
        </w:tc>
        <w:tc>
          <w:tcPr>
            <w:tcW w:type="dxa" w:w="5360"/>
          </w:tcPr>
          <w:p>
            <w:pPr>
              <w:spacing w:before="0" w:after="0" w:line="252" w:lineRule="auto"/>
              <w:jc w:val="left"/>
            </w:pPr>
            <w:r/>
            <w:r>
              <w:rPr>
                <w:rFonts w:ascii="Arial" w:hAnsi="Arial"/>
                <w:b w:val="0"/>
                <w:i w:val="0"/>
                <w:color w:val="1F2937"/>
                <w:sz w:val="18"/>
              </w:rPr>
              <w:t>System Administrator, System Administrator - API Only, and Standard User.</w:t>
            </w:r>
          </w:p>
        </w:tc>
      </w:tr>
      <w:tr>
        <w:tc>
          <w:tcPr>
            <w:tcW w:type="dxa" w:w="2200"/>
          </w:tcPr>
          <w:p>
            <w:pPr>
              <w:spacing w:before="0" w:after="0" w:line="252" w:lineRule="auto"/>
              <w:jc w:val="left"/>
            </w:pPr>
            <w:r/>
            <w:r>
              <w:rPr>
                <w:rFonts w:ascii="Arial" w:hAnsi="Arial"/>
                <w:b w:val="0"/>
                <w:i w:val="0"/>
                <w:color w:val="1F2937"/>
                <w:sz w:val="18"/>
              </w:rPr>
              <w:t>Default Case layout</w:t>
            </w:r>
          </w:p>
        </w:tc>
        <w:tc>
          <w:tcPr>
            <w:tcW w:type="dxa" w:w="1800"/>
          </w:tcPr>
          <w:p>
            <w:pPr>
              <w:spacing w:before="0" w:after="0" w:line="252" w:lineRule="auto"/>
              <w:jc w:val="left"/>
            </w:pPr>
            <w:r/>
            <w:r>
              <w:rPr>
                <w:rFonts w:ascii="Arial" w:hAnsi="Arial"/>
                <w:b w:val="0"/>
                <w:i w:val="0"/>
                <w:color w:val="1F2937"/>
                <w:sz w:val="18"/>
              </w:rPr>
              <w:t>29 profiles</w:t>
            </w:r>
          </w:p>
        </w:tc>
        <w:tc>
          <w:tcPr>
            <w:tcW w:type="dxa" w:w="5360"/>
          </w:tcPr>
          <w:p>
            <w:pPr>
              <w:spacing w:before="0" w:after="0" w:line="252" w:lineRule="auto"/>
              <w:jc w:val="left"/>
            </w:pPr>
            <w:r/>
            <w:r>
              <w:rPr>
                <w:rFonts w:ascii="Arial" w:hAnsi="Arial"/>
                <w:b w:val="0"/>
                <w:i w:val="0"/>
                <w:color w:val="1F2937"/>
                <w:sz w:val="18"/>
              </w:rPr>
              <w:t>These profiles do not receive the dedicated Trouble Ticket layout assignment.</w:t>
            </w:r>
          </w:p>
        </w:tc>
      </w:tr>
      <w:tr>
        <w:tc>
          <w:tcPr>
            <w:tcW w:type="dxa" w:w="2200"/>
          </w:tcPr>
          <w:p>
            <w:pPr>
              <w:spacing w:before="0" w:after="0" w:line="252" w:lineRule="auto"/>
              <w:jc w:val="left"/>
            </w:pPr>
            <w:r/>
            <w:r>
              <w:rPr>
                <w:rFonts w:ascii="Arial" w:hAnsi="Arial"/>
                <w:b w:val="0"/>
                <w:i w:val="0"/>
                <w:color w:val="1F2937"/>
                <w:sz w:val="18"/>
              </w:rPr>
              <w:t>NOC persona</w:t>
            </w:r>
          </w:p>
        </w:tc>
        <w:tc>
          <w:tcPr>
            <w:tcW w:type="dxa" w:w="1800"/>
          </w:tcPr>
          <w:p>
            <w:pPr>
              <w:spacing w:before="0" w:after="0" w:line="252" w:lineRule="auto"/>
              <w:jc w:val="left"/>
            </w:pPr>
            <w:r/>
            <w:r>
              <w:rPr>
                <w:rFonts w:ascii="Arial" w:hAnsi="Arial"/>
                <w:b w:val="0"/>
                <w:i w:val="0"/>
                <w:color w:val="1F2937"/>
                <w:sz w:val="18"/>
              </w:rPr>
              <w:t>Not identified</w:t>
            </w:r>
          </w:p>
        </w:tc>
        <w:tc>
          <w:tcPr>
            <w:tcW w:type="dxa" w:w="5360"/>
          </w:tcPr>
          <w:p>
            <w:pPr>
              <w:spacing w:before="0" w:after="0" w:line="252" w:lineRule="auto"/>
              <w:jc w:val="left"/>
            </w:pPr>
            <w:r/>
            <w:r>
              <w:rPr>
                <w:rFonts w:ascii="Arial" w:hAnsi="Arial"/>
                <w:b w:val="0"/>
                <w:i w:val="0"/>
                <w:color w:val="1F2937"/>
                <w:sz w:val="18"/>
              </w:rPr>
              <w:t>No active profile/user was discoverable by NOC name, department, or title.</w:t>
            </w:r>
          </w:p>
        </w:tc>
      </w:tr>
    </w:tbl>
    <w:p>
      <w:pPr>
        <w:spacing w:after="20"/>
      </w:pPr>
    </w:p>
    <w:p>
      <w:pPr>
        <w:pStyle w:val="Heading2"/>
        <w:keepNext/>
      </w:pPr>
      <w:r>
        <w:t>2. Layout coverage</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Area</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200"/>
          </w:tcPr>
          <w:p>
            <w:pPr>
              <w:spacing w:before="0" w:after="0" w:line="252" w:lineRule="auto"/>
              <w:jc w:val="left"/>
            </w:pPr>
            <w:r/>
            <w:r>
              <w:rPr>
                <w:rFonts w:ascii="Arial" w:hAnsi="Arial"/>
                <w:b w:val="0"/>
                <w:i w:val="0"/>
                <w:color w:val="1F2937"/>
                <w:sz w:val="18"/>
              </w:rPr>
              <w:t>Critical Dates</w:t>
            </w:r>
          </w:p>
        </w:tc>
        <w:tc>
          <w:tcPr>
            <w:tcW w:type="dxa" w:w="1900"/>
            <w:shd w:fill="E7F5F1"/>
          </w:tcPr>
          <w:p>
            <w:pPr>
              <w:spacing w:before="0" w:after="0" w:line="252" w:lineRule="auto"/>
              <w:jc w:val="center"/>
            </w:pPr>
            <w:r/>
            <w:r>
              <w:rPr>
                <w:rFonts w:ascii="Arial" w:hAnsi="Arial"/>
                <w:b/>
                <w:i w:val="0"/>
                <w:color w:val="16836B"/>
                <w:sz w:val="19"/>
              </w:rPr>
              <w:t>Pass with additions</w:t>
            </w:r>
          </w:p>
        </w:tc>
        <w:tc>
          <w:tcPr>
            <w:tcW w:type="dxa" w:w="5260"/>
          </w:tcPr>
          <w:p>
            <w:pPr>
              <w:spacing w:before="0" w:after="0" w:line="252" w:lineRule="auto"/>
              <w:jc w:val="left"/>
            </w:pPr>
            <w:r/>
            <w:r>
              <w:rPr>
                <w:rFonts w:ascii="Arial" w:hAnsi="Arial"/>
                <w:b w:val="0"/>
                <w:i w:val="0"/>
                <w:color w:val="1F2937"/>
                <w:sz w:val="18"/>
              </w:rPr>
              <w:t>Problem Occurred, Problem Reported, Repair, Created, and Closed Date are present. Created By and MTTR are additional.</w:t>
            </w:r>
          </w:p>
        </w:tc>
      </w:tr>
      <w:tr>
        <w:tc>
          <w:tcPr>
            <w:tcW w:type="dxa" w:w="2200"/>
          </w:tcPr>
          <w:p>
            <w:pPr>
              <w:spacing w:before="0" w:after="0" w:line="252" w:lineRule="auto"/>
              <w:jc w:val="left"/>
            </w:pPr>
            <w:r/>
            <w:r>
              <w:rPr>
                <w:rFonts w:ascii="Arial" w:hAnsi="Arial"/>
                <w:b w:val="0"/>
                <w:i w:val="0"/>
                <w:color w:val="1F2937"/>
                <w:sz w:val="18"/>
              </w:rPr>
              <w:t>Resolution fields</w:t>
            </w:r>
          </w:p>
        </w:tc>
        <w:tc>
          <w:tcPr>
            <w:tcW w:type="dxa" w:w="1900"/>
            <w:shd w:fill="E7F5F1"/>
          </w:tcPr>
          <w:p>
            <w:pPr>
              <w:spacing w:before="0" w:after="0" w:line="252" w:lineRule="auto"/>
              <w:jc w:val="center"/>
            </w:pPr>
            <w:r/>
            <w:r>
              <w:rPr>
                <w:rFonts w:ascii="Arial" w:hAnsi="Arial"/>
                <w:b/>
                <w:i w:val="0"/>
                <w:color w:val="16836B"/>
                <w:sz w:val="19"/>
              </w:rPr>
              <w:t>Pass</w:t>
            </w:r>
          </w:p>
        </w:tc>
        <w:tc>
          <w:tcPr>
            <w:tcW w:type="dxa" w:w="5260"/>
          </w:tcPr>
          <w:p>
            <w:pPr>
              <w:spacing w:before="0" w:after="0" w:line="252" w:lineRule="auto"/>
              <w:jc w:val="left"/>
            </w:pPr>
            <w:r/>
            <w:r>
              <w:rPr>
                <w:rFonts w:ascii="Arial" w:hAnsi="Arial"/>
                <w:b w:val="0"/>
                <w:i w:val="0"/>
                <w:color w:val="1F2937"/>
                <w:sz w:val="18"/>
              </w:rPr>
              <w:t>Primary Resolution, Secondary Resolution, and Resolution Detail are grouped under Resolution Details.</w:t>
            </w:r>
          </w:p>
        </w:tc>
      </w:tr>
      <w:tr>
        <w:tc>
          <w:tcPr>
            <w:tcW w:type="dxa" w:w="2200"/>
          </w:tcPr>
          <w:p>
            <w:pPr>
              <w:spacing w:before="0" w:after="0" w:line="252" w:lineRule="auto"/>
              <w:jc w:val="left"/>
            </w:pPr>
            <w:r/>
            <w:r>
              <w:rPr>
                <w:rFonts w:ascii="Arial" w:hAnsi="Arial"/>
                <w:b w:val="0"/>
                <w:i w:val="0"/>
                <w:color w:val="1F2937"/>
                <w:sz w:val="18"/>
              </w:rPr>
              <w:t>Service context</w:t>
            </w:r>
          </w:p>
        </w:tc>
        <w:tc>
          <w:tcPr>
            <w:tcW w:type="dxa" w:w="1900"/>
            <w:shd w:fill="E7F5F1"/>
          </w:tcPr>
          <w:p>
            <w:pPr>
              <w:spacing w:before="0" w:after="0" w:line="252" w:lineRule="auto"/>
              <w:jc w:val="center"/>
            </w:pPr>
            <w:r/>
            <w:r>
              <w:rPr>
                <w:rFonts w:ascii="Arial" w:hAnsi="Arial"/>
                <w:b/>
                <w:i w:val="0"/>
                <w:color w:val="16836B"/>
                <w:sz w:val="19"/>
              </w:rPr>
              <w:t>Pass</w:t>
            </w:r>
          </w:p>
        </w:tc>
        <w:tc>
          <w:tcPr>
            <w:tcW w:type="dxa" w:w="5260"/>
          </w:tcPr>
          <w:p>
            <w:pPr>
              <w:spacing w:before="0" w:after="0" w:line="252" w:lineRule="auto"/>
              <w:jc w:val="left"/>
            </w:pPr>
            <w:r/>
            <w:r>
              <w:rPr>
                <w:rFonts w:ascii="Arial" w:hAnsi="Arial"/>
                <w:b w:val="0"/>
                <w:i w:val="0"/>
                <w:color w:val="1F2937"/>
                <w:sz w:val="18"/>
              </w:rPr>
              <w:t>Service Type, Service Address, Subscriber Report, Parent Case, and standard Priority are placed on the layout.</w:t>
            </w:r>
          </w:p>
        </w:tc>
      </w:tr>
      <w:tr>
        <w:tc>
          <w:tcPr>
            <w:tcW w:type="dxa" w:w="2200"/>
          </w:tcPr>
          <w:p>
            <w:pPr>
              <w:spacing w:before="0" w:after="0" w:line="252" w:lineRule="auto"/>
              <w:jc w:val="left"/>
            </w:pPr>
            <w:r/>
            <w:r>
              <w:rPr>
                <w:rFonts w:ascii="Arial" w:hAnsi="Arial"/>
                <w:b w:val="0"/>
                <w:i w:val="0"/>
                <w:color w:val="1F2937"/>
                <w:sz w:val="18"/>
              </w:rPr>
              <w:t>Extra section</w:t>
            </w:r>
          </w:p>
        </w:tc>
        <w:tc>
          <w:tcPr>
            <w:tcW w:type="dxa" w:w="1900"/>
            <w:shd w:fill="FFF6DE"/>
          </w:tcPr>
          <w:p>
            <w:pPr>
              <w:spacing w:before="0" w:after="0" w:line="252" w:lineRule="auto"/>
              <w:jc w:val="center"/>
            </w:pPr>
            <w:r/>
            <w:r>
              <w:rPr>
                <w:rFonts w:ascii="Arial" w:hAnsi="Arial"/>
                <w:b/>
                <w:i w:val="0"/>
                <w:color w:val="B7791F"/>
                <w:sz w:val="19"/>
              </w:rPr>
              <w:t>Review</w:t>
            </w:r>
          </w:p>
        </w:tc>
        <w:tc>
          <w:tcPr>
            <w:tcW w:type="dxa" w:w="5260"/>
          </w:tcPr>
          <w:p>
            <w:pPr>
              <w:spacing w:before="0" w:after="0" w:line="252" w:lineRule="auto"/>
              <w:jc w:val="left"/>
            </w:pPr>
            <w:r/>
            <w:r>
              <w:rPr>
                <w:rFonts w:ascii="Arial" w:hAnsi="Arial"/>
                <w:b w:val="0"/>
                <w:i w:val="0"/>
                <w:color w:val="1F2937"/>
                <w:sz w:val="18"/>
              </w:rPr>
              <w:t>Field Technician Context was added although it is outside the stated test cases.</w:t>
            </w:r>
          </w:p>
        </w:tc>
      </w:tr>
      <w:tr>
        <w:tc>
          <w:tcPr>
            <w:tcW w:type="dxa" w:w="2200"/>
          </w:tcPr>
          <w:p>
            <w:pPr>
              <w:spacing w:before="0" w:after="0" w:line="252" w:lineRule="auto"/>
              <w:jc w:val="left"/>
            </w:pPr>
            <w:r/>
            <w:r>
              <w:rPr>
                <w:rFonts w:ascii="Arial" w:hAnsi="Arial"/>
                <w:b w:val="0"/>
                <w:i w:val="0"/>
                <w:color w:val="1F2937"/>
                <w:sz w:val="18"/>
              </w:rPr>
              <w:t>Priority ambiguity</w:t>
            </w:r>
          </w:p>
        </w:tc>
        <w:tc>
          <w:tcPr>
            <w:tcW w:type="dxa" w:w="1900"/>
            <w:shd w:fill="FDECEC"/>
          </w:tcPr>
          <w:p>
            <w:pPr>
              <w:spacing w:before="0" w:after="0" w:line="252" w:lineRule="auto"/>
              <w:jc w:val="center"/>
            </w:pPr>
            <w:r/>
            <w:r>
              <w:rPr>
                <w:rFonts w:ascii="Arial" w:hAnsi="Arial"/>
                <w:b/>
                <w:i w:val="0"/>
                <w:color w:val="C53030"/>
                <w:sz w:val="19"/>
              </w:rPr>
              <w:t>Changes requested</w:t>
            </w:r>
          </w:p>
        </w:tc>
        <w:tc>
          <w:tcPr>
            <w:tcW w:type="dxa" w:w="5260"/>
          </w:tcPr>
          <w:p>
            <w:pPr>
              <w:spacing w:before="0" w:after="0" w:line="252" w:lineRule="auto"/>
              <w:jc w:val="left"/>
            </w:pPr>
            <w:r/>
            <w:r>
              <w:rPr>
                <w:rFonts w:ascii="Arial" w:hAnsi="Arial"/>
                <w:b w:val="0"/>
                <w:i w:val="0"/>
                <w:color w:val="1F2937"/>
                <w:sz w:val="18"/>
              </w:rPr>
              <w:t>Custom Priority__c has Low/Med/High but no field permission. Standard Priority remains visible with High/Medium/Low.</w:t>
            </w:r>
          </w:p>
        </w:tc>
      </w:tr>
    </w:tbl>
    <w:p>
      <w:pPr>
        <w:spacing w:after="20"/>
      </w:pPr>
    </w:p>
    <w:p>
      <w:pPr>
        <w:pStyle w:val="Heading2"/>
        <w:keepNext/>
      </w:pPr>
      <w:r>
        <w:t>3. Dependency evidence</w:t>
      </w:r>
    </w:p>
    <w:tbl>
      <w:tblPr>
        <w:tblStyle w:val="TableGrid"/>
        <w:tblW w:type="dxa" w:w="9360"/>
        <w:jc w:val="left"/>
        <w:tblLayout w:type="fixed"/>
        <w:tblLook w:firstColumn="1" w:firstRow="1" w:lastColumn="0" w:lastRow="0" w:noHBand="0" w:noVBand="1" w:val="04A0"/>
        <w:tblInd w:w="120" w:type="dxa"/>
      </w:tblPr>
      <w:tblGrid>
        <w:gridCol w:w="2850"/>
        <w:gridCol w:w="1600"/>
        <w:gridCol w:w="4910"/>
      </w:tblGrid>
      <w:tr>
        <w:trPr>
          <w:tblHeader w:val="true"/>
        </w:trPr>
        <w:tc>
          <w:tcPr>
            <w:tcW w:type="dxa" w:w="2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Relationship</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Status</w:t>
            </w:r>
          </w:p>
        </w:tc>
        <w:tc>
          <w:tcPr>
            <w:tcW w:type="dxa" w:w="49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850"/>
          </w:tcPr>
          <w:p>
            <w:pPr>
              <w:spacing w:before="0" w:after="0" w:line="252" w:lineRule="auto"/>
              <w:jc w:val="left"/>
            </w:pPr>
            <w:r/>
            <w:r>
              <w:rPr>
                <w:rFonts w:ascii="Arial" w:hAnsi="Arial"/>
                <w:b w:val="0"/>
                <w:i w:val="0"/>
                <w:color w:val="1F2937"/>
                <w:sz w:val="18"/>
              </w:rPr>
              <w:t>Service Type -&gt; Subscriber Report</w:t>
            </w:r>
          </w:p>
        </w:tc>
        <w:tc>
          <w:tcPr>
            <w:tcW w:type="dxa" w:w="1600"/>
            <w:shd w:fill="FFF6DE"/>
          </w:tcPr>
          <w:p>
            <w:pPr>
              <w:spacing w:before="0" w:after="0" w:line="252" w:lineRule="auto"/>
              <w:jc w:val="center"/>
            </w:pPr>
            <w:r/>
            <w:r>
              <w:rPr>
                <w:rFonts w:ascii="Arial" w:hAnsi="Arial"/>
                <w:b/>
                <w:i w:val="0"/>
                <w:color w:val="B7791F"/>
                <w:sz w:val="19"/>
              </w:rPr>
              <w:t>Configured</w:t>
            </w:r>
          </w:p>
        </w:tc>
        <w:tc>
          <w:tcPr>
            <w:tcW w:type="dxa" w:w="4910"/>
          </w:tcPr>
          <w:p>
            <w:pPr>
              <w:spacing w:before="0" w:after="0" w:line="252" w:lineRule="auto"/>
              <w:jc w:val="left"/>
            </w:pPr>
            <w:r/>
            <w:r>
              <w:rPr>
                <w:rFonts w:ascii="Arial" w:hAnsi="Arial"/>
                <w:b w:val="0"/>
                <w:i w:val="0"/>
                <w:color w:val="1F2937"/>
                <w:sz w:val="18"/>
              </w:rPr>
              <w:t>7 Service Types; 63 Subscriber Reports on Trouble Ticket; Fixed Wireless maps to zero.</w:t>
            </w:r>
          </w:p>
        </w:tc>
      </w:tr>
      <w:tr>
        <w:tc>
          <w:tcPr>
            <w:tcW w:type="dxa" w:w="2850"/>
          </w:tcPr>
          <w:p>
            <w:pPr>
              <w:spacing w:before="0" w:after="0" w:line="252" w:lineRule="auto"/>
              <w:jc w:val="left"/>
            </w:pPr>
            <w:r/>
            <w:r>
              <w:rPr>
                <w:rFonts w:ascii="Arial" w:hAnsi="Arial"/>
                <w:b w:val="0"/>
                <w:i w:val="0"/>
                <w:color w:val="1F2937"/>
                <w:sz w:val="18"/>
              </w:rPr>
              <w:t>Subscriber Report -&gt; Primary Resolution</w:t>
            </w:r>
          </w:p>
        </w:tc>
        <w:tc>
          <w:tcPr>
            <w:tcW w:type="dxa" w:w="1600"/>
            <w:shd w:fill="FFF6DE"/>
          </w:tcPr>
          <w:p>
            <w:pPr>
              <w:spacing w:before="0" w:after="0" w:line="252" w:lineRule="auto"/>
              <w:jc w:val="center"/>
            </w:pPr>
            <w:r/>
            <w:r>
              <w:rPr>
                <w:rFonts w:ascii="Arial" w:hAnsi="Arial"/>
                <w:b/>
                <w:i w:val="0"/>
                <w:color w:val="B7791F"/>
                <w:sz w:val="19"/>
              </w:rPr>
              <w:t>Configured</w:t>
            </w:r>
          </w:p>
        </w:tc>
        <w:tc>
          <w:tcPr>
            <w:tcW w:type="dxa" w:w="4910"/>
          </w:tcPr>
          <w:p>
            <w:pPr>
              <w:spacing w:before="0" w:after="0" w:line="252" w:lineRule="auto"/>
              <w:jc w:val="left"/>
            </w:pPr>
            <w:r/>
            <w:r>
              <w:rPr>
                <w:rFonts w:ascii="Arial" w:hAnsi="Arial"/>
                <w:b w:val="0"/>
                <w:i w:val="0"/>
                <w:color w:val="1F2937"/>
                <w:sz w:val="18"/>
              </w:rPr>
              <w:t>All available Subscriber Report controllers have at least one Primary Resolution.</w:t>
            </w:r>
          </w:p>
        </w:tc>
      </w:tr>
      <w:tr>
        <w:tc>
          <w:tcPr>
            <w:tcW w:type="dxa" w:w="2850"/>
          </w:tcPr>
          <w:p>
            <w:pPr>
              <w:spacing w:before="0" w:after="0" w:line="252" w:lineRule="auto"/>
              <w:jc w:val="left"/>
            </w:pPr>
            <w:r/>
            <w:r>
              <w:rPr>
                <w:rFonts w:ascii="Arial" w:hAnsi="Arial"/>
                <w:b w:val="0"/>
                <w:i w:val="0"/>
                <w:color w:val="1F2937"/>
                <w:sz w:val="18"/>
              </w:rPr>
              <w:t>Record-type exclusions</w:t>
            </w:r>
          </w:p>
        </w:tc>
        <w:tc>
          <w:tcPr>
            <w:tcW w:type="dxa" w:w="1600"/>
            <w:shd w:fill="FFF6DE"/>
          </w:tcPr>
          <w:p>
            <w:pPr>
              <w:spacing w:before="0" w:after="0" w:line="252" w:lineRule="auto"/>
              <w:jc w:val="center"/>
            </w:pPr>
            <w:r/>
            <w:r>
              <w:rPr>
                <w:rFonts w:ascii="Arial" w:hAnsi="Arial"/>
                <w:b/>
                <w:i w:val="0"/>
                <w:color w:val="B7791F"/>
                <w:sz w:val="19"/>
              </w:rPr>
              <w:t>Review</w:t>
            </w:r>
          </w:p>
        </w:tc>
        <w:tc>
          <w:tcPr>
            <w:tcW w:type="dxa" w:w="4910"/>
          </w:tcPr>
          <w:p>
            <w:pPr>
              <w:spacing w:before="0" w:after="0" w:line="252" w:lineRule="auto"/>
              <w:jc w:val="left"/>
            </w:pPr>
            <w:r/>
            <w:r>
              <w:rPr>
                <w:rFonts w:ascii="Arial" w:hAnsi="Arial"/>
                <w:b w:val="0"/>
                <w:i w:val="0"/>
                <w:color w:val="1F2937"/>
                <w:sz w:val="18"/>
              </w:rPr>
              <w:t>LOCATE is excluded from Subscriber Report. Three Primary Resolution values are excluded.</w:t>
            </w:r>
          </w:p>
        </w:tc>
      </w:tr>
      <w:tr>
        <w:tc>
          <w:tcPr>
            <w:tcW w:type="dxa" w:w="2850"/>
          </w:tcPr>
          <w:p>
            <w:pPr>
              <w:spacing w:before="0" w:after="0" w:line="252" w:lineRule="auto"/>
              <w:jc w:val="left"/>
            </w:pPr>
            <w:r/>
            <w:r>
              <w:rPr>
                <w:rFonts w:ascii="Arial" w:hAnsi="Arial"/>
                <w:b w:val="0"/>
                <w:i w:val="0"/>
                <w:color w:val="1F2937"/>
                <w:sz w:val="18"/>
              </w:rPr>
              <w:t>Excel parity</w:t>
            </w:r>
          </w:p>
        </w:tc>
        <w:tc>
          <w:tcPr>
            <w:tcW w:type="dxa" w:w="1600"/>
            <w:shd w:fill="FDECEC"/>
          </w:tcPr>
          <w:p>
            <w:pPr>
              <w:spacing w:before="0" w:after="0" w:line="252" w:lineRule="auto"/>
              <w:jc w:val="center"/>
            </w:pPr>
            <w:r/>
            <w:r>
              <w:rPr>
                <w:rFonts w:ascii="Arial" w:hAnsi="Arial"/>
                <w:b/>
                <w:i w:val="0"/>
                <w:color w:val="C53030"/>
                <w:sz w:val="19"/>
              </w:rPr>
              <w:t>Blocked</w:t>
            </w:r>
          </w:p>
        </w:tc>
        <w:tc>
          <w:tcPr>
            <w:tcW w:type="dxa" w:w="4910"/>
          </w:tcPr>
          <w:p>
            <w:pPr>
              <w:spacing w:before="0" w:after="0" w:line="252" w:lineRule="auto"/>
              <w:jc w:val="left"/>
            </w:pPr>
            <w:r/>
            <w:r>
              <w:rPr>
                <w:rFonts w:ascii="Arial" w:hAnsi="Arial"/>
                <w:b w:val="0"/>
                <w:i w:val="0"/>
                <w:color w:val="1F2937"/>
                <w:sz w:val="18"/>
              </w:rPr>
              <w:t>The referenced Subscriber Reports NISC workbook was not attached or directly accessible.</w:t>
            </w:r>
          </w:p>
        </w:tc>
      </w:tr>
    </w:tbl>
    <w:p>
      <w:pPr>
        <w:spacing w:after="20"/>
      </w:pPr>
    </w:p>
    <w:p>
      <w:r>
        <w:br w:type="page"/>
      </w:r>
    </w:p>
    <w:p>
      <w:pPr>
        <w:pStyle w:val="Heading1"/>
        <w:keepNext/>
      </w:pPr>
      <w:r>
        <w:t>Configuration class diagram</w:t>
      </w:r>
    </w:p>
    <w:p>
      <w:pPr>
        <w:spacing w:after="120" w:line="264" w:lineRule="auto"/>
      </w:pPr>
      <w:r>
        <w:rPr>
          <w:rFonts w:ascii="Arial" w:hAnsi="Arial"/>
          <w:b w:val="0"/>
          <w:i w:val="0"/>
          <w:color w:val="1F2937"/>
          <w:sz w:val="22"/>
        </w:rPr>
        <w:t>The diagram separates user access, Salesforce configuration, record data, and the external mapping source so ownership is clear.</w:t>
      </w:r>
    </w:p>
    <w:p>
      <w:pPr>
        <w:keepNext/>
        <w:jc w:val="center"/>
      </w:pPr>
      <w:r>
        <w:drawing>
          <wp:inline xmlns:a="http://schemas.openxmlformats.org/drawingml/2006/main" xmlns:pic="http://schemas.openxmlformats.org/drawingml/2006/picture">
            <wp:extent cx="5897880" cy="4194048"/>
            <wp:docPr id="2" name="Picture 2" title="Figure 2. Trouble Ticket configuration and dependency class diagram" descr="UML-style diagram relating NOCUser, Profile, CaseRecordType, PageLayout, Case, ServiceType, SubscriberReport, PrimaryResolution, and MappingWorkbook. It highlights access assignments and dependent-picklist relationships."/>
            <wp:cNvGraphicFramePr>
              <a:graphicFrameLocks noChangeAspect="1"/>
            </wp:cNvGraphicFramePr>
            <a:graphic>
              <a:graphicData uri="http://schemas.openxmlformats.org/drawingml/2006/picture">
                <pic:pic>
                  <pic:nvPicPr>
                    <pic:cNvPr id="0" name="trouble-ticket-class-diagram.png"/>
                    <pic:cNvPicPr/>
                  </pic:nvPicPr>
                  <pic:blipFill>
                    <a:blip r:embed="rId16"/>
                    <a:stretch>
                      <a:fillRect/>
                    </a:stretch>
                  </pic:blipFill>
                  <pic:spPr>
                    <a:xfrm>
                      <a:off x="0" y="0"/>
                      <a:ext cx="5897880" cy="4194048"/>
                    </a:xfrm>
                    <a:prstGeom prst="rect"/>
                  </pic:spPr>
                </pic:pic>
              </a:graphicData>
            </a:graphic>
          </wp:inline>
        </w:drawing>
      </w:r>
    </w:p>
    <w:p>
      <w:pPr>
        <w:keepNext/>
        <w:spacing w:before="40" w:after="160"/>
        <w:jc w:val="center"/>
      </w:pPr>
      <w:r>
        <w:rPr>
          <w:rFonts w:ascii="Arial" w:hAnsi="Arial"/>
          <w:b w:val="0"/>
          <w:i/>
          <w:color w:val="5B6777"/>
          <w:sz w:val="18"/>
        </w:rPr>
        <w:t>Figure 2. Trouble Ticket configuration and dependency class diagram</w:t>
      </w:r>
    </w:p>
    <w:p>
      <w:pPr>
        <w:spacing w:after="120" w:line="264" w:lineRule="auto"/>
      </w:pPr>
      <w:r>
        <w:rPr>
          <w:rFonts w:ascii="Arial" w:hAnsi="Arial"/>
          <w:b/>
          <w:i w:val="0"/>
          <w:color w:val="1F2937"/>
          <w:sz w:val="22"/>
        </w:rPr>
        <w:t>Architect interpretation:</w:t>
      </w:r>
      <w:r>
        <w:rPr>
          <w:rFonts w:ascii="Arial" w:hAnsi="Arial"/>
          <w:b w:val="0"/>
          <w:i w:val="0"/>
          <w:color w:val="1F2937"/>
          <w:sz w:val="22"/>
        </w:rPr>
        <w:t xml:space="preserve"> the Salesforce configuration objects are connected correctly for the current administrator, but the business-persona access model and workbook-driven value parity are not yet proven.</w:t>
      </w:r>
    </w:p>
    <w:p>
      <w:r>
        <w:br w:type="page"/>
      </w:r>
    </w:p>
    <w:p>
      <w:pPr>
        <w:pStyle w:val="Heading1"/>
        <w:keepNext/>
      </w:pPr>
      <w:r>
        <w:t>Required approval gates</w:t>
      </w:r>
    </w:p>
    <w:tbl>
      <w:tblPr>
        <w:tblStyle w:val="TableGrid"/>
        <w:tblW w:type="dxa" w:w="9360"/>
        <w:jc w:val="left"/>
        <w:tblLayout w:type="fixed"/>
        <w:tblLook w:firstColumn="1" w:firstRow="1" w:lastColumn="0" w:lastRow="0" w:noHBand="0" w:noVBand="1" w:val="04A0"/>
        <w:tblInd w:w="120" w:type="dxa"/>
      </w:tblPr>
      <w:tblGrid>
        <w:gridCol w:w="900"/>
        <w:gridCol w:w="2700"/>
        <w:gridCol w:w="2250"/>
        <w:gridCol w:w="3510"/>
      </w:tblGrid>
      <w:tr>
        <w:trPr>
          <w:tblHeader w:val="true"/>
        </w:trPr>
        <w:tc>
          <w:tcPr>
            <w:tcW w:type="dxa" w:w="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7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2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35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900"/>
          </w:tcPr>
          <w:p>
            <w:pPr>
              <w:spacing w:before="0" w:after="0" w:line="252" w:lineRule="auto"/>
              <w:jc w:val="left"/>
            </w:pPr>
            <w:r/>
            <w:r>
              <w:rPr>
                <w:rFonts w:ascii="Arial" w:hAnsi="Arial"/>
                <w:b w:val="0"/>
                <w:i w:val="0"/>
                <w:color w:val="1F2937"/>
                <w:sz w:val="18"/>
              </w:rPr>
              <w:t>1</w:t>
            </w:r>
          </w:p>
        </w:tc>
        <w:tc>
          <w:tcPr>
            <w:tcW w:type="dxa" w:w="2700"/>
          </w:tcPr>
          <w:p>
            <w:pPr>
              <w:spacing w:before="0" w:after="0" w:line="252" w:lineRule="auto"/>
              <w:jc w:val="left"/>
            </w:pPr>
            <w:r/>
            <w:r>
              <w:rPr>
                <w:rFonts w:ascii="Arial" w:hAnsi="Arial"/>
                <w:b w:val="0"/>
                <w:i w:val="0"/>
                <w:color w:val="1F2937"/>
                <w:sz w:val="18"/>
              </w:rPr>
              <w:t>Identify the NOC test user/profile</w:t>
            </w:r>
          </w:p>
        </w:tc>
        <w:tc>
          <w:tcPr>
            <w:tcW w:type="dxa" w:w="2250"/>
          </w:tcPr>
          <w:p>
            <w:pPr>
              <w:spacing w:before="0" w:after="0" w:line="252" w:lineRule="auto"/>
              <w:jc w:val="left"/>
            </w:pPr>
            <w:r/>
            <w:r>
              <w:rPr>
                <w:rFonts w:ascii="Arial" w:hAnsi="Arial"/>
                <w:b w:val="0"/>
                <w:i w:val="0"/>
                <w:color w:val="1F2937"/>
                <w:sz w:val="18"/>
              </w:rPr>
              <w:t>Product owner / Salesforce admin</w:t>
            </w:r>
          </w:p>
        </w:tc>
        <w:tc>
          <w:tcPr>
            <w:tcW w:type="dxa" w:w="3510"/>
          </w:tcPr>
          <w:p>
            <w:pPr>
              <w:spacing w:before="0" w:after="0" w:line="252" w:lineRule="auto"/>
              <w:jc w:val="left"/>
            </w:pPr>
            <w:r/>
            <w:r>
              <w:rPr>
                <w:rFonts w:ascii="Arial" w:hAnsi="Arial"/>
                <w:b w:val="0"/>
                <w:i w:val="0"/>
                <w:color w:val="1F2937"/>
                <w:sz w:val="18"/>
              </w:rPr>
              <w:t>Provide the username and prove record type, layout, and field visibility.</w:t>
            </w:r>
          </w:p>
        </w:tc>
      </w:tr>
      <w:tr>
        <w:tc>
          <w:tcPr>
            <w:tcW w:type="dxa" w:w="900"/>
          </w:tcPr>
          <w:p>
            <w:pPr>
              <w:spacing w:before="0" w:after="0" w:line="252" w:lineRule="auto"/>
              <w:jc w:val="left"/>
            </w:pPr>
            <w:r/>
            <w:r>
              <w:rPr>
                <w:rFonts w:ascii="Arial" w:hAnsi="Arial"/>
                <w:b w:val="0"/>
                <w:i w:val="0"/>
                <w:color w:val="1F2937"/>
                <w:sz w:val="18"/>
              </w:rPr>
              <w:t>2</w:t>
            </w:r>
          </w:p>
        </w:tc>
        <w:tc>
          <w:tcPr>
            <w:tcW w:type="dxa" w:w="2700"/>
          </w:tcPr>
          <w:p>
            <w:pPr>
              <w:spacing w:before="0" w:after="0" w:line="252" w:lineRule="auto"/>
              <w:jc w:val="left"/>
            </w:pPr>
            <w:r/>
            <w:r>
              <w:rPr>
                <w:rFonts w:ascii="Arial" w:hAnsi="Arial"/>
                <w:b w:val="0"/>
                <w:i w:val="0"/>
                <w:color w:val="1F2937"/>
                <w:sz w:val="18"/>
              </w:rPr>
              <w:t>Resolve Priority field design</w:t>
            </w:r>
          </w:p>
        </w:tc>
        <w:tc>
          <w:tcPr>
            <w:tcW w:type="dxa" w:w="2250"/>
          </w:tcPr>
          <w:p>
            <w:pPr>
              <w:spacing w:before="0" w:after="0" w:line="252" w:lineRule="auto"/>
              <w:jc w:val="left"/>
            </w:pPr>
            <w:r/>
            <w:r>
              <w:rPr>
                <w:rFonts w:ascii="Arial" w:hAnsi="Arial"/>
                <w:b w:val="0"/>
                <w:i w:val="0"/>
                <w:color w:val="1F2937"/>
                <w:sz w:val="18"/>
              </w:rPr>
              <w:t>Salesforce admin / Architect</w:t>
            </w:r>
          </w:p>
        </w:tc>
        <w:tc>
          <w:tcPr>
            <w:tcW w:type="dxa" w:w="3510"/>
          </w:tcPr>
          <w:p>
            <w:pPr>
              <w:spacing w:before="0" w:after="0" w:line="252" w:lineRule="auto"/>
              <w:jc w:val="left"/>
            </w:pPr>
            <w:r/>
            <w:r>
              <w:rPr>
                <w:rFonts w:ascii="Arial" w:hAnsi="Arial"/>
                <w:b w:val="0"/>
                <w:i w:val="0"/>
                <w:color w:val="1F2937"/>
                <w:sz w:val="18"/>
              </w:rPr>
              <w:t>Choose standard Priority or custom Priority__c; add field-level access if custom is retained.</w:t>
            </w:r>
          </w:p>
        </w:tc>
      </w:tr>
      <w:tr>
        <w:tc>
          <w:tcPr>
            <w:tcW w:type="dxa" w:w="900"/>
          </w:tcPr>
          <w:p>
            <w:pPr>
              <w:spacing w:before="0" w:after="0" w:line="252" w:lineRule="auto"/>
              <w:jc w:val="left"/>
            </w:pPr>
            <w:r/>
            <w:r>
              <w:rPr>
                <w:rFonts w:ascii="Arial" w:hAnsi="Arial"/>
                <w:b w:val="0"/>
                <w:i w:val="0"/>
                <w:color w:val="1F2937"/>
                <w:sz w:val="18"/>
              </w:rPr>
              <w:t>3</w:t>
            </w:r>
          </w:p>
        </w:tc>
        <w:tc>
          <w:tcPr>
            <w:tcW w:type="dxa" w:w="2700"/>
          </w:tcPr>
          <w:p>
            <w:pPr>
              <w:spacing w:before="0" w:after="0" w:line="252" w:lineRule="auto"/>
              <w:jc w:val="left"/>
            </w:pPr>
            <w:r/>
            <w:r>
              <w:rPr>
                <w:rFonts w:ascii="Arial" w:hAnsi="Arial"/>
                <w:b w:val="0"/>
                <w:i w:val="0"/>
                <w:color w:val="1F2937"/>
                <w:sz w:val="18"/>
              </w:rPr>
              <w:t>Resolve Fixed Wireless mapping</w:t>
            </w:r>
          </w:p>
        </w:tc>
        <w:tc>
          <w:tcPr>
            <w:tcW w:type="dxa" w:w="2250"/>
          </w:tcPr>
          <w:p>
            <w:pPr>
              <w:spacing w:before="0" w:after="0" w:line="252" w:lineRule="auto"/>
              <w:jc w:val="left"/>
            </w:pPr>
            <w:r/>
            <w:r>
              <w:rPr>
                <w:rFonts w:ascii="Arial" w:hAnsi="Arial"/>
                <w:b w:val="0"/>
                <w:i w:val="0"/>
                <w:color w:val="1F2937"/>
                <w:sz w:val="18"/>
              </w:rPr>
              <w:t>Business analyst / Admin</w:t>
            </w:r>
          </w:p>
        </w:tc>
        <w:tc>
          <w:tcPr>
            <w:tcW w:type="dxa" w:w="3510"/>
          </w:tcPr>
          <w:p>
            <w:pPr>
              <w:spacing w:before="0" w:after="0" w:line="252" w:lineRule="auto"/>
              <w:jc w:val="left"/>
            </w:pPr>
            <w:r/>
            <w:r>
              <w:rPr>
                <w:rFonts w:ascii="Arial" w:hAnsi="Arial"/>
                <w:b w:val="0"/>
                <w:i w:val="0"/>
                <w:color w:val="1F2937"/>
                <w:sz w:val="18"/>
              </w:rPr>
              <w:t>Add Subscriber Report values or document that an empty list is intentional.</w:t>
            </w:r>
          </w:p>
        </w:tc>
      </w:tr>
      <w:tr>
        <w:tc>
          <w:tcPr>
            <w:tcW w:type="dxa" w:w="900"/>
          </w:tcPr>
          <w:p>
            <w:pPr>
              <w:spacing w:before="0" w:after="0" w:line="252" w:lineRule="auto"/>
              <w:jc w:val="left"/>
            </w:pPr>
            <w:r/>
            <w:r>
              <w:rPr>
                <w:rFonts w:ascii="Arial" w:hAnsi="Arial"/>
                <w:b w:val="0"/>
                <w:i w:val="0"/>
                <w:color w:val="1F2937"/>
                <w:sz w:val="18"/>
              </w:rPr>
              <w:t>4</w:t>
            </w:r>
          </w:p>
        </w:tc>
        <w:tc>
          <w:tcPr>
            <w:tcW w:type="dxa" w:w="2700"/>
          </w:tcPr>
          <w:p>
            <w:pPr>
              <w:spacing w:before="0" w:after="0" w:line="252" w:lineRule="auto"/>
              <w:jc w:val="left"/>
            </w:pPr>
            <w:r/>
            <w:r>
              <w:rPr>
                <w:rFonts w:ascii="Arial" w:hAnsi="Arial"/>
                <w:b w:val="0"/>
                <w:i w:val="0"/>
                <w:color w:val="1F2937"/>
                <w:sz w:val="18"/>
              </w:rPr>
              <w:t>Validate Excel parity</w:t>
            </w:r>
          </w:p>
        </w:tc>
        <w:tc>
          <w:tcPr>
            <w:tcW w:type="dxa" w:w="2250"/>
          </w:tcPr>
          <w:p>
            <w:pPr>
              <w:spacing w:before="0" w:after="0" w:line="252" w:lineRule="auto"/>
              <w:jc w:val="left"/>
            </w:pPr>
            <w:r/>
            <w:r>
              <w:rPr>
                <w:rFonts w:ascii="Arial" w:hAnsi="Arial"/>
                <w:b w:val="0"/>
                <w:i w:val="0"/>
                <w:color w:val="1F2937"/>
                <w:sz w:val="18"/>
              </w:rPr>
              <w:t>Business analyst / QA</w:t>
            </w:r>
          </w:p>
        </w:tc>
        <w:tc>
          <w:tcPr>
            <w:tcW w:type="dxa" w:w="3510"/>
          </w:tcPr>
          <w:p>
            <w:pPr>
              <w:spacing w:before="0" w:after="0" w:line="252" w:lineRule="auto"/>
              <w:jc w:val="left"/>
            </w:pPr>
            <w:r/>
            <w:r>
              <w:rPr>
                <w:rFonts w:ascii="Arial" w:hAnsi="Arial"/>
                <w:b w:val="0"/>
                <w:i w:val="0"/>
                <w:color w:val="1F2937"/>
                <w:sz w:val="18"/>
              </w:rPr>
              <w:t>Attach the workbook and compare every Service Type, Subscriber Report, and Primary Resolution mapping.</w:t>
            </w:r>
          </w:p>
        </w:tc>
      </w:tr>
      <w:tr>
        <w:tc>
          <w:tcPr>
            <w:tcW w:type="dxa" w:w="900"/>
          </w:tcPr>
          <w:p>
            <w:pPr>
              <w:spacing w:before="0" w:after="0" w:line="252" w:lineRule="auto"/>
              <w:jc w:val="left"/>
            </w:pPr>
            <w:r/>
            <w:r>
              <w:rPr>
                <w:rFonts w:ascii="Arial" w:hAnsi="Arial"/>
                <w:b w:val="0"/>
                <w:i w:val="0"/>
                <w:color w:val="1F2937"/>
                <w:sz w:val="18"/>
              </w:rPr>
              <w:t>5</w:t>
            </w:r>
          </w:p>
        </w:tc>
        <w:tc>
          <w:tcPr>
            <w:tcW w:type="dxa" w:w="2700"/>
          </w:tcPr>
          <w:p>
            <w:pPr>
              <w:spacing w:before="0" w:after="0" w:line="252" w:lineRule="auto"/>
              <w:jc w:val="left"/>
            </w:pPr>
            <w:r/>
            <w:r>
              <w:rPr>
                <w:rFonts w:ascii="Arial" w:hAnsi="Arial"/>
                <w:b w:val="0"/>
                <w:i w:val="0"/>
                <w:color w:val="1F2937"/>
                <w:sz w:val="18"/>
              </w:rPr>
              <w:t>Confirm layout additions</w:t>
            </w:r>
          </w:p>
        </w:tc>
        <w:tc>
          <w:tcPr>
            <w:tcW w:type="dxa" w:w="2250"/>
          </w:tcPr>
          <w:p>
            <w:pPr>
              <w:spacing w:before="0" w:after="0" w:line="252" w:lineRule="auto"/>
              <w:jc w:val="left"/>
            </w:pPr>
            <w:r/>
            <w:r>
              <w:rPr>
                <w:rFonts w:ascii="Arial" w:hAnsi="Arial"/>
                <w:b w:val="0"/>
                <w:i w:val="0"/>
                <w:color w:val="1F2937"/>
                <w:sz w:val="18"/>
              </w:rPr>
              <w:t>Product owner / Architect</w:t>
            </w:r>
          </w:p>
        </w:tc>
        <w:tc>
          <w:tcPr>
            <w:tcW w:type="dxa" w:w="3510"/>
          </w:tcPr>
          <w:p>
            <w:pPr>
              <w:spacing w:before="0" w:after="0" w:line="252" w:lineRule="auto"/>
              <w:jc w:val="left"/>
            </w:pPr>
            <w:r/>
            <w:r>
              <w:rPr>
                <w:rFonts w:ascii="Arial" w:hAnsi="Arial"/>
                <w:b w:val="0"/>
                <w:i w:val="0"/>
                <w:color w:val="1F2937"/>
                <w:sz w:val="18"/>
              </w:rPr>
              <w:t>Approve or remove Created By, MTTR, Resolution Details, and Field Technician Context deviations.</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Architect review completed in the GreatPlainsMerge sandbox. The core Trouble Ticket configuration is present, including the active record type, dedicated layout, Critical Dates fields, and both dependent-picklist relationships. Approval remains conditional. Please confirm the intended NOC user/profile assignment, resolve field-level access and usage for the Low/Med/High Priority field, resolve or confirm the empty Fixed Wireless Subscriber Report mapping, provide the Excel workbook for exact dependency validation, and confirm that the additional MTTR, Created By, Resolution Details, and Field Technician Context items are intentional. No records, metadata, activation, or deployment changes were made during this review.</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This report is a live, read-only configuration review of GreatPlainsMerge as observed on 26 August 2026. It is not a deployment validation, because no local change package or check-only deployment was supplied.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Plains Trouble Ticket Architect Review</dc:title>
  <dc:subject>Read-only dry-run and readiness assessment</dc:subject>
  <dc:creator>Solution Architecture Review</dc:creator>
  <cp:keywords>Salesforce, Great Plains, Trouble Ticket,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