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i w:val="0"/>
          <w:color w:val="2E74B5"/>
          <w:sz w:val="20"/>
        </w:rPr>
        <w:t>ARCHITECT REVIEW</w:t>
      </w:r>
    </w:p>
    <w:p>
      <w:pPr>
        <w:spacing w:after="80"/>
      </w:pPr>
      <w:r>
        <w:rPr>
          <w:rFonts w:ascii="Arial" w:hAnsi="Arial"/>
          <w:b/>
          <w:i w:val="0"/>
          <w:color w:val="0B2545"/>
          <w:sz w:val="50"/>
        </w:rPr>
        <w:t>SCC-3386 | Field Technician Context</w:t>
      </w:r>
    </w:p>
    <w:p>
      <w:pPr>
        <w:spacing w:after="320"/>
      </w:pPr>
      <w:r>
        <w:rPr>
          <w:rFonts w:ascii="Arial" w:hAnsi="Arial"/>
          <w:b w:val="0"/>
          <w:i w:val="0"/>
          <w:color w:val="5B6777"/>
          <w:sz w:val="26"/>
        </w:rPr>
        <w:t>Great Plains Merge Sandbox | Read-only dry-run and readiness assessment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9"/>
              </w:rPr>
              <w:t>Environment</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9"/>
              </w:rPr>
              <w:t>GreatPlainsMerge (Sandbox) | Org 00DEa00000GkAsHMAV</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9"/>
              </w:rPr>
              <w:t>Review date</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9"/>
              </w:rPr>
              <w:t>26 August 2026</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9"/>
              </w:rPr>
              <w:t>Retrieval</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9"/>
              </w:rPr>
              <w:t>Succeeded | Job 09SEa00000ickQLMAY</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9"/>
              </w:rPr>
              <w:t>Decision</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9"/>
              </w:rPr>
              <w:t>Changes Requested - not ready for promotion</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9"/>
              </w:rPr>
              <w:t>Boundary</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9"/>
              </w:rPr>
              <w:t>No records, deployment, activation, or org metadata were changed</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DECEC"/>
          </w:tcPr>
          <w:p>
            <w:pPr>
              <w:spacing w:after="40"/>
            </w:pPr>
            <w:r>
              <w:rPr>
                <w:rFonts w:ascii="Arial" w:hAnsi="Arial"/>
                <w:b/>
                <w:i w:val="0"/>
                <w:color w:val="C53030"/>
                <w:sz w:val="18"/>
              </w:rPr>
              <w:t>ARCHITECT DECISION</w:t>
            </w:r>
          </w:p>
          <w:p>
            <w:pPr>
              <w:spacing w:after="0" w:line="259" w:lineRule="auto"/>
            </w:pPr>
            <w:r>
              <w:rPr>
                <w:rFonts w:ascii="Arial" w:hAnsi="Arial"/>
                <w:b/>
                <w:i w:val="0"/>
                <w:color w:val="0B2545"/>
                <w:sz w:val="22"/>
              </w:rPr>
              <w:t>Do not promote yet. The Case-side fields are present, but the Work Order page wiring, technician field access, and Incident related-list configuration are incomplete.</w:t>
            </w:r>
          </w:p>
        </w:tc>
      </w:tr>
    </w:tbl>
    <w:p>
      <w:pPr>
        <w:spacing w:after="20"/>
      </w:pPr>
    </w:p>
    <w:p>
      <w:pPr>
        <w:pStyle w:val="Heading1"/>
        <w:keepNext/>
      </w:pPr>
      <w:r>
        <w:t>Acceptance outcome</w:t>
      </w:r>
    </w:p>
    <w:tbl>
      <w:tblPr>
        <w:tblStyle w:val="TableGrid"/>
        <w:tblW w:type="dxa" w:w="9360"/>
        <w:jc w:val="left"/>
        <w:tblLayout w:type="fixed"/>
        <w:tblLook w:firstColumn="1" w:firstRow="1" w:lastColumn="0" w:lastRow="0" w:noHBand="0" w:noVBand="1" w:val="04A0"/>
        <w:tblInd w:w="120" w:type="dxa"/>
      </w:tblPr>
      <w:tblGrid>
        <w:gridCol w:w="500"/>
        <w:gridCol w:w="2100"/>
        <w:gridCol w:w="1500"/>
        <w:gridCol w:w="5260"/>
      </w:tblGrid>
      <w:tr>
        <w:trPr>
          <w:tblHeader w:val="true"/>
        </w:trPr>
        <w:tc>
          <w:tcPr>
            <w:tcW w:type="dxa" w:w="5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w:t>
            </w:r>
          </w:p>
        </w:tc>
        <w:tc>
          <w:tcPr>
            <w:tcW w:type="dxa" w:w="21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Scope</w:t>
            </w:r>
          </w:p>
        </w:tc>
        <w:tc>
          <w:tcPr>
            <w:tcW w:type="dxa" w:w="15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Result</w:t>
            </w:r>
          </w:p>
        </w:tc>
        <w:tc>
          <w:tcPr>
            <w:tcW w:type="dxa" w:w="526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Evidence</w:t>
            </w:r>
          </w:p>
        </w:tc>
      </w:tr>
      <w:tr>
        <w:tc>
          <w:tcPr>
            <w:tcW w:type="dxa" w:w="500"/>
          </w:tcPr>
          <w:p>
            <w:pPr>
              <w:spacing w:before="0" w:after="0" w:line="252" w:lineRule="auto"/>
              <w:jc w:val="left"/>
            </w:pPr>
            <w:r/>
            <w:r>
              <w:rPr>
                <w:rFonts w:ascii="Arial" w:hAnsi="Arial"/>
                <w:b w:val="0"/>
                <w:i w:val="0"/>
                <w:color w:val="1F2937"/>
                <w:sz w:val="18"/>
              </w:rPr>
              <w:t>1</w:t>
            </w:r>
          </w:p>
        </w:tc>
        <w:tc>
          <w:tcPr>
            <w:tcW w:type="dxa" w:w="2100"/>
          </w:tcPr>
          <w:p>
            <w:pPr>
              <w:spacing w:before="0" w:after="0" w:line="252" w:lineRule="auto"/>
              <w:jc w:val="left"/>
            </w:pPr>
            <w:r/>
            <w:r>
              <w:rPr>
                <w:rFonts w:ascii="Arial" w:hAnsi="Arial"/>
                <w:b w:val="0"/>
                <w:i w:val="0"/>
                <w:color w:val="1F2937"/>
                <w:sz w:val="18"/>
              </w:rPr>
              <w:t>Case fields and layout</w:t>
            </w:r>
          </w:p>
        </w:tc>
        <w:tc>
          <w:tcPr>
            <w:tcW w:type="dxa" w:w="1500"/>
            <w:shd w:fill="FFF6DE"/>
          </w:tcPr>
          <w:p>
            <w:pPr>
              <w:spacing w:before="0" w:after="0" w:line="252" w:lineRule="auto"/>
              <w:jc w:val="center"/>
            </w:pPr>
            <w:r/>
            <w:r>
              <w:rPr>
                <w:rFonts w:ascii="Arial" w:hAnsi="Arial"/>
                <w:b/>
                <w:i w:val="0"/>
                <w:color w:val="B7791F"/>
                <w:sz w:val="19"/>
              </w:rPr>
              <w:t>Partial pass</w:t>
            </w:r>
          </w:p>
        </w:tc>
        <w:tc>
          <w:tcPr>
            <w:tcW w:type="dxa" w:w="5260"/>
          </w:tcPr>
          <w:p>
            <w:pPr>
              <w:spacing w:before="0" w:after="0" w:line="252" w:lineRule="auto"/>
              <w:jc w:val="left"/>
            </w:pPr>
            <w:r/>
            <w:r>
              <w:rPr>
                <w:rFonts w:ascii="Arial" w:hAnsi="Arial"/>
                <w:b w:val="0"/>
                <w:i w:val="0"/>
                <w:color w:val="1F2937"/>
                <w:sz w:val="18"/>
              </w:rPr>
              <w:t>Five fields exist; Contact Preference is restricted to 8 values; section order matches the test. Technician access fails.</w:t>
            </w:r>
          </w:p>
        </w:tc>
      </w:tr>
      <w:tr>
        <w:tc>
          <w:tcPr>
            <w:tcW w:type="dxa" w:w="500"/>
          </w:tcPr>
          <w:p>
            <w:pPr>
              <w:spacing w:before="0" w:after="0" w:line="252" w:lineRule="auto"/>
              <w:jc w:val="left"/>
            </w:pPr>
            <w:r/>
            <w:r>
              <w:rPr>
                <w:rFonts w:ascii="Arial" w:hAnsi="Arial"/>
                <w:b w:val="0"/>
                <w:i w:val="0"/>
                <w:color w:val="1F2937"/>
                <w:sz w:val="18"/>
              </w:rPr>
              <w:t>2</w:t>
            </w:r>
          </w:p>
        </w:tc>
        <w:tc>
          <w:tcPr>
            <w:tcW w:type="dxa" w:w="2100"/>
          </w:tcPr>
          <w:p>
            <w:pPr>
              <w:spacing w:before="0" w:after="0" w:line="252" w:lineRule="auto"/>
              <w:jc w:val="left"/>
            </w:pPr>
            <w:r/>
            <w:r>
              <w:rPr>
                <w:rFonts w:ascii="Arial" w:hAnsi="Arial"/>
                <w:b w:val="0"/>
                <w:i w:val="0"/>
                <w:color w:val="1F2937"/>
                <w:sz w:val="18"/>
              </w:rPr>
              <w:t>Related Outage</w:t>
            </w:r>
          </w:p>
        </w:tc>
        <w:tc>
          <w:tcPr>
            <w:tcW w:type="dxa" w:w="1500"/>
            <w:shd w:fill="FDECEC"/>
          </w:tcPr>
          <w:p>
            <w:pPr>
              <w:spacing w:before="0" w:after="0" w:line="252" w:lineRule="auto"/>
              <w:jc w:val="center"/>
            </w:pPr>
            <w:r/>
            <w:r>
              <w:rPr>
                <w:rFonts w:ascii="Arial" w:hAnsi="Arial"/>
                <w:b/>
                <w:i w:val="0"/>
                <w:color w:val="C53030"/>
                <w:sz w:val="19"/>
              </w:rPr>
              <w:t>Partial fail</w:t>
            </w:r>
          </w:p>
        </w:tc>
        <w:tc>
          <w:tcPr>
            <w:tcW w:type="dxa" w:w="5260"/>
          </w:tcPr>
          <w:p>
            <w:pPr>
              <w:spacing w:before="0" w:after="0" w:line="252" w:lineRule="auto"/>
              <w:jc w:val="left"/>
            </w:pPr>
            <w:r/>
            <w:r>
              <w:rPr>
                <w:rFonts w:ascii="Arial" w:hAnsi="Arial"/>
                <w:b w:val="0"/>
                <w:i w:val="0"/>
                <w:color w:val="1F2937"/>
                <w:sz w:val="18"/>
              </w:rPr>
              <w:t>Lookup to Incident exists, but the only Incident layout lacks the Trouble Tickets related list.</w:t>
            </w:r>
          </w:p>
        </w:tc>
      </w:tr>
      <w:tr>
        <w:tc>
          <w:tcPr>
            <w:tcW w:type="dxa" w:w="500"/>
          </w:tcPr>
          <w:p>
            <w:pPr>
              <w:spacing w:before="0" w:after="0" w:line="252" w:lineRule="auto"/>
              <w:jc w:val="left"/>
            </w:pPr>
            <w:r/>
            <w:r>
              <w:rPr>
                <w:rFonts w:ascii="Arial" w:hAnsi="Arial"/>
                <w:b w:val="0"/>
                <w:i w:val="0"/>
                <w:color w:val="1F2937"/>
                <w:sz w:val="18"/>
              </w:rPr>
              <w:t>3</w:t>
            </w:r>
          </w:p>
        </w:tc>
        <w:tc>
          <w:tcPr>
            <w:tcW w:type="dxa" w:w="2100"/>
          </w:tcPr>
          <w:p>
            <w:pPr>
              <w:spacing w:before="0" w:after="0" w:line="252" w:lineRule="auto"/>
              <w:jc w:val="left"/>
            </w:pPr>
            <w:r/>
            <w:r>
              <w:rPr>
                <w:rFonts w:ascii="Arial" w:hAnsi="Arial"/>
                <w:b w:val="0"/>
                <w:i w:val="0"/>
                <w:color w:val="1F2937"/>
                <w:sz w:val="18"/>
              </w:rPr>
              <w:t>Create Work Order regression</w:t>
            </w:r>
          </w:p>
        </w:tc>
        <w:tc>
          <w:tcPr>
            <w:tcW w:type="dxa" w:w="1500"/>
            <w:shd w:fill="FFF6DE"/>
          </w:tcPr>
          <w:p>
            <w:pPr>
              <w:spacing w:before="0" w:after="0" w:line="252" w:lineRule="auto"/>
              <w:jc w:val="center"/>
            </w:pPr>
            <w:r/>
            <w:r>
              <w:rPr>
                <w:rFonts w:ascii="Arial" w:hAnsi="Arial"/>
                <w:b/>
                <w:i w:val="0"/>
                <w:color w:val="B7791F"/>
                <w:sz w:val="19"/>
              </w:rPr>
              <w:t>Partial pass</w:t>
            </w:r>
          </w:p>
        </w:tc>
        <w:tc>
          <w:tcPr>
            <w:tcW w:type="dxa" w:w="5260"/>
          </w:tcPr>
          <w:p>
            <w:pPr>
              <w:spacing w:before="0" w:after="0" w:line="252" w:lineRule="auto"/>
              <w:jc w:val="left"/>
            </w:pPr>
            <w:r/>
            <w:r>
              <w:rPr>
                <w:rFonts w:ascii="Arial" w:hAnsi="Arial"/>
                <w:b w:val="0"/>
                <w:i w:val="0"/>
                <w:color w:val="1F2937"/>
                <w:sz w:val="18"/>
              </w:rPr>
              <w:t>SCC-3385 flow v1 is active/latest. Runtime mapping and duplicate behavior were not executed in this read-only review.</w:t>
            </w:r>
          </w:p>
        </w:tc>
      </w:tr>
      <w:tr>
        <w:tc>
          <w:tcPr>
            <w:tcW w:type="dxa" w:w="500"/>
          </w:tcPr>
          <w:p>
            <w:pPr>
              <w:spacing w:before="0" w:after="0" w:line="252" w:lineRule="auto"/>
              <w:jc w:val="left"/>
            </w:pPr>
            <w:r/>
            <w:r>
              <w:rPr>
                <w:rFonts w:ascii="Arial" w:hAnsi="Arial"/>
                <w:b w:val="0"/>
                <w:i w:val="0"/>
                <w:color w:val="1F2937"/>
                <w:sz w:val="18"/>
              </w:rPr>
              <w:t>4</w:t>
            </w:r>
          </w:p>
        </w:tc>
        <w:tc>
          <w:tcPr>
            <w:tcW w:type="dxa" w:w="2100"/>
          </w:tcPr>
          <w:p>
            <w:pPr>
              <w:spacing w:before="0" w:after="0" w:line="252" w:lineRule="auto"/>
              <w:jc w:val="left"/>
            </w:pPr>
            <w:r/>
            <w:r>
              <w:rPr>
                <w:rFonts w:ascii="Arial" w:hAnsi="Arial"/>
                <w:b w:val="0"/>
                <w:i w:val="0"/>
                <w:color w:val="1F2937"/>
                <w:sz w:val="18"/>
              </w:rPr>
              <w:t>Read-only detail on Work Order</w:t>
            </w:r>
          </w:p>
        </w:tc>
        <w:tc>
          <w:tcPr>
            <w:tcW w:type="dxa" w:w="1500"/>
            <w:shd w:fill="FDECEC"/>
          </w:tcPr>
          <w:p>
            <w:pPr>
              <w:spacing w:before="0" w:after="0" w:line="252" w:lineRule="auto"/>
              <w:jc w:val="center"/>
            </w:pPr>
            <w:r/>
            <w:r>
              <w:rPr>
                <w:rFonts w:ascii="Arial" w:hAnsi="Arial"/>
                <w:b/>
                <w:i w:val="0"/>
                <w:color w:val="C53030"/>
                <w:sz w:val="19"/>
              </w:rPr>
              <w:t>Fail</w:t>
            </w:r>
          </w:p>
        </w:tc>
        <w:tc>
          <w:tcPr>
            <w:tcW w:type="dxa" w:w="5260"/>
          </w:tcPr>
          <w:p>
            <w:pPr>
              <w:spacing w:before="0" w:after="0" w:line="252" w:lineRule="auto"/>
              <w:jc w:val="left"/>
            </w:pPr>
            <w:r/>
            <w:r>
              <w:rPr>
                <w:rFonts w:ascii="Arial" w:hAnsi="Arial"/>
                <w:b w:val="0"/>
                <w:i w:val="0"/>
                <w:color w:val="1F2937"/>
                <w:sz w:val="18"/>
              </w:rPr>
              <w:t>Nine-field read-only quick action exists, but the only Work Order record page does not reference it or include a Related Record component.</w:t>
            </w:r>
          </w:p>
        </w:tc>
      </w:tr>
      <w:tr>
        <w:tc>
          <w:tcPr>
            <w:tcW w:type="dxa" w:w="500"/>
          </w:tcPr>
          <w:p>
            <w:pPr>
              <w:spacing w:before="0" w:after="0" w:line="252" w:lineRule="auto"/>
              <w:jc w:val="left"/>
            </w:pPr>
            <w:r/>
            <w:r>
              <w:rPr>
                <w:rFonts w:ascii="Arial" w:hAnsi="Arial"/>
                <w:b w:val="0"/>
                <w:i w:val="0"/>
                <w:color w:val="1F2937"/>
                <w:sz w:val="18"/>
              </w:rPr>
              <w:t>5</w:t>
            </w:r>
          </w:p>
        </w:tc>
        <w:tc>
          <w:tcPr>
            <w:tcW w:type="dxa" w:w="2100"/>
          </w:tcPr>
          <w:p>
            <w:pPr>
              <w:spacing w:before="0" w:after="0" w:line="252" w:lineRule="auto"/>
              <w:jc w:val="left"/>
            </w:pPr>
            <w:r/>
            <w:r>
              <w:rPr>
                <w:rFonts w:ascii="Arial" w:hAnsi="Arial"/>
                <w:b w:val="0"/>
                <w:i w:val="0"/>
                <w:color w:val="1F2937"/>
                <w:sz w:val="18"/>
              </w:rPr>
              <w:t>Field Service Mobile persona</w:t>
            </w:r>
          </w:p>
        </w:tc>
        <w:tc>
          <w:tcPr>
            <w:tcW w:type="dxa" w:w="1500"/>
            <w:shd w:fill="FDECEC"/>
          </w:tcPr>
          <w:p>
            <w:pPr>
              <w:spacing w:before="0" w:after="0" w:line="252" w:lineRule="auto"/>
              <w:jc w:val="center"/>
            </w:pPr>
            <w:r/>
            <w:r>
              <w:rPr>
                <w:rFonts w:ascii="Arial" w:hAnsi="Arial"/>
                <w:b/>
                <w:i w:val="0"/>
                <w:color w:val="C53030"/>
                <w:sz w:val="19"/>
              </w:rPr>
              <w:t>Fail</w:t>
            </w:r>
          </w:p>
        </w:tc>
        <w:tc>
          <w:tcPr>
            <w:tcW w:type="dxa" w:w="5260"/>
          </w:tcPr>
          <w:p>
            <w:pPr>
              <w:spacing w:before="0" w:after="0" w:line="252" w:lineRule="auto"/>
              <w:jc w:val="left"/>
            </w:pPr>
            <w:r/>
            <w:r>
              <w:rPr>
                <w:rFonts w:ascii="Arial" w:hAnsi="Arial"/>
                <w:b w:val="0"/>
                <w:i w:val="0"/>
                <w:color w:val="1F2937"/>
                <w:sz w:val="18"/>
              </w:rPr>
              <w:t>Two active mobile users use GPC-Residential CRC Team; that profile and its assigned permission sets grant none of the required field access.</w:t>
            </w:r>
          </w:p>
        </w:tc>
      </w:tr>
    </w:tbl>
    <w:p>
      <w:pPr>
        <w:spacing w:after="20"/>
      </w:pPr>
    </w:p>
    <w:p>
      <w:r>
        <w:br w:type="page"/>
      </w:r>
    </w:p>
    <w:p>
      <w:pPr>
        <w:pStyle w:val="Heading1"/>
        <w:keepNext/>
      </w:pPr>
      <w:r>
        <w:t>Solution and access path</w:t>
      </w:r>
    </w:p>
    <w:p>
      <w:pPr>
        <w:spacing w:after="120" w:line="264" w:lineRule="auto"/>
      </w:pPr>
      <w:r>
        <w:rPr>
          <w:rFonts w:ascii="Arial" w:hAnsi="Arial"/>
          <w:b w:val="0"/>
          <w:i w:val="0"/>
          <w:color w:val="1F2937"/>
          <w:sz w:val="22"/>
        </w:rPr>
        <w:t>The configured Case fields are usable by administrators, but the intended technician path breaks at both the Work Order page and field-security layers.</w:t>
      </w:r>
    </w:p>
    <w:p>
      <w:pPr>
        <w:keepNext/>
        <w:jc w:val="center"/>
      </w:pPr>
      <w:r>
        <w:drawing>
          <wp:inline xmlns:a="http://schemas.openxmlformats.org/drawingml/2006/main" xmlns:pic="http://schemas.openxmlformats.org/drawingml/2006/picture">
            <wp:extent cx="5897880" cy="3686175"/>
            <wp:docPr id="1" name="Picture 1" title="Figure 1. SCC-3386 technician context delivery path" descr="Diagram showing Case context fields flowing to a Work Order record page and then a field technician. The Work Order Related Record component and technician field access are both marked as blocked. A related-outage note shows that the Incident layout lacks the Trouble Tickets related list."/>
            <wp:cNvGraphicFramePr>
              <a:graphicFrameLocks noChangeAspect="1"/>
            </wp:cNvGraphicFramePr>
            <a:graphic>
              <a:graphicData uri="http://schemas.openxmlformats.org/drawingml/2006/picture">
                <pic:pic>
                  <pic:nvPicPr>
                    <pic:cNvPr id="0" name="scc3386-technician-context-flow.png"/>
                    <pic:cNvPicPr/>
                  </pic:nvPicPr>
                  <pic:blipFill>
                    <a:blip r:embed="rId15"/>
                    <a:stretch>
                      <a:fillRect/>
                    </a:stretch>
                  </pic:blipFill>
                  <pic:spPr>
                    <a:xfrm>
                      <a:off x="0" y="0"/>
                      <a:ext cx="5897880" cy="3686175"/>
                    </a:xfrm>
                    <a:prstGeom prst="rect"/>
                  </pic:spPr>
                </pic:pic>
              </a:graphicData>
            </a:graphic>
          </wp:inline>
        </w:drawing>
      </w:r>
    </w:p>
    <w:p>
      <w:pPr>
        <w:keepNext/>
        <w:spacing w:before="40" w:after="160"/>
        <w:jc w:val="center"/>
      </w:pPr>
      <w:r>
        <w:rPr>
          <w:rFonts w:ascii="Arial" w:hAnsi="Arial"/>
          <w:b w:val="0"/>
          <w:i/>
          <w:color w:val="5B6777"/>
          <w:sz w:val="18"/>
        </w:rPr>
        <w:t>Figure 1. SCC-3386 technician context delivery path</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2FA"/>
          </w:tcPr>
          <w:p>
            <w:pPr>
              <w:spacing w:after="40"/>
            </w:pPr>
            <w:r>
              <w:rPr>
                <w:rFonts w:ascii="Arial" w:hAnsi="Arial"/>
                <w:b/>
                <w:i w:val="0"/>
                <w:color w:val="2E74B5"/>
                <w:sz w:val="18"/>
              </w:rPr>
              <w:t>DESIGN READING</w:t>
            </w:r>
          </w:p>
          <w:p>
            <w:pPr>
              <w:spacing w:after="0" w:line="259" w:lineRule="auto"/>
            </w:pPr>
            <w:r>
              <w:rPr>
                <w:rFonts w:ascii="Arial" w:hAnsi="Arial"/>
                <w:b/>
                <w:i w:val="0"/>
                <w:color w:val="0B2545"/>
                <w:sz w:val="22"/>
              </w:rPr>
              <w:t>Green is configured. Amber is incomplete. Red blocks an acceptance criterion.</w:t>
            </w:r>
          </w:p>
        </w:tc>
      </w:tr>
    </w:tbl>
    <w:p>
      <w:pPr>
        <w:spacing w:after="20"/>
      </w:pPr>
    </w:p>
    <w:p>
      <w:r>
        <w:br w:type="page"/>
      </w:r>
    </w:p>
    <w:p>
      <w:pPr>
        <w:pStyle w:val="Heading1"/>
        <w:keepNext/>
      </w:pPr>
      <w:r>
        <w:t>Detailed configuration findings</w:t>
      </w:r>
    </w:p>
    <w:p>
      <w:pPr>
        <w:pStyle w:val="Heading2"/>
        <w:keepNext/>
      </w:pPr>
      <w:r>
        <w:t>1. Case field implementation</w:t>
      </w:r>
    </w:p>
    <w:tbl>
      <w:tblPr>
        <w:tblStyle w:val="TableGrid"/>
        <w:tblW w:type="dxa" w:w="9360"/>
        <w:jc w:val="left"/>
        <w:tblLayout w:type="fixed"/>
        <w:tblLook w:firstColumn="1" w:firstRow="1" w:lastColumn="0" w:lastRow="0" w:noHBand="0" w:noVBand="1" w:val="04A0"/>
        <w:tblInd w:w="120" w:type="dxa"/>
      </w:tblPr>
      <w:tblGrid>
        <w:gridCol w:w="2400"/>
        <w:gridCol w:w="2200"/>
        <w:gridCol w:w="4760"/>
      </w:tblGrid>
      <w:tr>
        <w:trPr>
          <w:tblHeader w:val="true"/>
        </w:trPr>
        <w:tc>
          <w:tcPr>
            <w:tcW w:type="dxa" w:w="24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Field</w:t>
            </w:r>
          </w:p>
        </w:tc>
        <w:tc>
          <w:tcPr>
            <w:tcW w:type="dxa" w:w="22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Type</w:t>
            </w:r>
          </w:p>
        </w:tc>
        <w:tc>
          <w:tcPr>
            <w:tcW w:type="dxa" w:w="476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Architect evidence</w:t>
            </w:r>
          </w:p>
        </w:tc>
      </w:tr>
      <w:tr>
        <w:tc>
          <w:tcPr>
            <w:tcW w:type="dxa" w:w="2400"/>
          </w:tcPr>
          <w:p>
            <w:pPr>
              <w:spacing w:before="0" w:after="0" w:line="252" w:lineRule="auto"/>
              <w:jc w:val="left"/>
            </w:pPr>
            <w:r/>
            <w:r>
              <w:rPr>
                <w:rFonts w:ascii="Arial" w:hAnsi="Arial"/>
                <w:b w:val="0"/>
                <w:i w:val="0"/>
                <w:color w:val="1F2937"/>
                <w:sz w:val="18"/>
              </w:rPr>
              <w:t>Contact Preference</w:t>
            </w:r>
          </w:p>
        </w:tc>
        <w:tc>
          <w:tcPr>
            <w:tcW w:type="dxa" w:w="2200"/>
          </w:tcPr>
          <w:p>
            <w:pPr>
              <w:spacing w:before="0" w:after="0" w:line="252" w:lineRule="auto"/>
              <w:jc w:val="left"/>
            </w:pPr>
            <w:r/>
            <w:r>
              <w:rPr>
                <w:rFonts w:ascii="Arial" w:hAnsi="Arial"/>
                <w:b w:val="0"/>
                <w:i w:val="0"/>
                <w:color w:val="1F2937"/>
                <w:sz w:val="18"/>
              </w:rPr>
              <w:t>Restricted picklist</w:t>
            </w:r>
          </w:p>
        </w:tc>
        <w:tc>
          <w:tcPr>
            <w:tcW w:type="dxa" w:w="4760"/>
          </w:tcPr>
          <w:p>
            <w:pPr>
              <w:spacing w:before="0" w:after="0" w:line="252" w:lineRule="auto"/>
              <w:jc w:val="left"/>
            </w:pPr>
            <w:r/>
            <w:r>
              <w:rPr>
                <w:rFonts w:ascii="Arial" w:hAnsi="Arial"/>
                <w:b w:val="0"/>
                <w:i w:val="0"/>
                <w:color w:val="1F2937"/>
                <w:sz w:val="18"/>
              </w:rPr>
              <w:t>8 approved values; placed first in Field Technician Context.</w:t>
            </w:r>
          </w:p>
        </w:tc>
      </w:tr>
      <w:tr>
        <w:tc>
          <w:tcPr>
            <w:tcW w:type="dxa" w:w="2400"/>
          </w:tcPr>
          <w:p>
            <w:pPr>
              <w:spacing w:before="0" w:after="0" w:line="252" w:lineRule="auto"/>
              <w:jc w:val="left"/>
            </w:pPr>
            <w:r/>
            <w:r>
              <w:rPr>
                <w:rFonts w:ascii="Arial" w:hAnsi="Arial"/>
                <w:b w:val="0"/>
                <w:i w:val="0"/>
                <w:color w:val="1F2937"/>
                <w:sz w:val="18"/>
              </w:rPr>
              <w:t>Special Instructions</w:t>
            </w:r>
          </w:p>
        </w:tc>
        <w:tc>
          <w:tcPr>
            <w:tcW w:type="dxa" w:w="2200"/>
          </w:tcPr>
          <w:p>
            <w:pPr>
              <w:spacing w:before="0" w:after="0" w:line="252" w:lineRule="auto"/>
              <w:jc w:val="left"/>
            </w:pPr>
            <w:r/>
            <w:r>
              <w:rPr>
                <w:rFonts w:ascii="Arial" w:hAnsi="Arial"/>
                <w:b w:val="0"/>
                <w:i w:val="0"/>
                <w:color w:val="1F2937"/>
                <w:sz w:val="18"/>
              </w:rPr>
              <w:t>Long Text Area (4,000)</w:t>
            </w:r>
          </w:p>
        </w:tc>
        <w:tc>
          <w:tcPr>
            <w:tcW w:type="dxa" w:w="4760"/>
          </w:tcPr>
          <w:p>
            <w:pPr>
              <w:spacing w:before="0" w:after="0" w:line="252" w:lineRule="auto"/>
              <w:jc w:val="left"/>
            </w:pPr>
            <w:r/>
            <w:r>
              <w:rPr>
                <w:rFonts w:ascii="Arial" w:hAnsi="Arial"/>
                <w:b w:val="0"/>
                <w:i w:val="0"/>
                <w:color w:val="1F2937"/>
                <w:sz w:val="18"/>
              </w:rPr>
              <w:t>Placed second; site-access guidance.</w:t>
            </w:r>
          </w:p>
        </w:tc>
      </w:tr>
      <w:tr>
        <w:tc>
          <w:tcPr>
            <w:tcW w:type="dxa" w:w="2400"/>
          </w:tcPr>
          <w:p>
            <w:pPr>
              <w:spacing w:before="0" w:after="0" w:line="252" w:lineRule="auto"/>
              <w:jc w:val="left"/>
            </w:pPr>
            <w:r/>
            <w:r>
              <w:rPr>
                <w:rFonts w:ascii="Arial" w:hAnsi="Arial"/>
                <w:b w:val="0"/>
                <w:i w:val="0"/>
                <w:color w:val="1F2937"/>
                <w:sz w:val="18"/>
              </w:rPr>
              <w:t>Tier 2 Notes</w:t>
            </w:r>
          </w:p>
        </w:tc>
        <w:tc>
          <w:tcPr>
            <w:tcW w:type="dxa" w:w="2200"/>
          </w:tcPr>
          <w:p>
            <w:pPr>
              <w:spacing w:before="0" w:after="0" w:line="252" w:lineRule="auto"/>
              <w:jc w:val="left"/>
            </w:pPr>
            <w:r/>
            <w:r>
              <w:rPr>
                <w:rFonts w:ascii="Arial" w:hAnsi="Arial"/>
                <w:b w:val="0"/>
                <w:i w:val="0"/>
                <w:color w:val="1F2937"/>
                <w:sz w:val="18"/>
              </w:rPr>
              <w:t>Long Text Area (32,768)</w:t>
            </w:r>
          </w:p>
        </w:tc>
        <w:tc>
          <w:tcPr>
            <w:tcW w:type="dxa" w:w="4760"/>
          </w:tcPr>
          <w:p>
            <w:pPr>
              <w:spacing w:before="0" w:after="0" w:line="252" w:lineRule="auto"/>
              <w:jc w:val="left"/>
            </w:pPr>
            <w:r/>
            <w:r>
              <w:rPr>
                <w:rFonts w:ascii="Arial" w:hAnsi="Arial"/>
                <w:b w:val="0"/>
                <w:i w:val="0"/>
                <w:color w:val="1F2937"/>
                <w:sz w:val="18"/>
              </w:rPr>
              <w:t>Placed third; full troubleshooting history capacity.</w:t>
            </w:r>
          </w:p>
        </w:tc>
      </w:tr>
      <w:tr>
        <w:tc>
          <w:tcPr>
            <w:tcW w:type="dxa" w:w="2400"/>
          </w:tcPr>
          <w:p>
            <w:pPr>
              <w:spacing w:before="0" w:after="0" w:line="252" w:lineRule="auto"/>
              <w:jc w:val="left"/>
            </w:pPr>
            <w:r/>
            <w:r>
              <w:rPr>
                <w:rFonts w:ascii="Arial" w:hAnsi="Arial"/>
                <w:b w:val="0"/>
                <w:i w:val="0"/>
                <w:color w:val="1F2937"/>
                <w:sz w:val="18"/>
              </w:rPr>
              <w:t>Equipment Information</w:t>
            </w:r>
          </w:p>
        </w:tc>
        <w:tc>
          <w:tcPr>
            <w:tcW w:type="dxa" w:w="2200"/>
          </w:tcPr>
          <w:p>
            <w:pPr>
              <w:spacing w:before="0" w:after="0" w:line="252" w:lineRule="auto"/>
              <w:jc w:val="left"/>
            </w:pPr>
            <w:r/>
            <w:r>
              <w:rPr>
                <w:rFonts w:ascii="Arial" w:hAnsi="Arial"/>
                <w:b w:val="0"/>
                <w:i w:val="0"/>
                <w:color w:val="1F2937"/>
                <w:sz w:val="18"/>
              </w:rPr>
              <w:t>Long Text Area (4,000)</w:t>
            </w:r>
          </w:p>
        </w:tc>
        <w:tc>
          <w:tcPr>
            <w:tcW w:type="dxa" w:w="4760"/>
          </w:tcPr>
          <w:p>
            <w:pPr>
              <w:spacing w:before="0" w:after="0" w:line="252" w:lineRule="auto"/>
              <w:jc w:val="left"/>
            </w:pPr>
            <w:r/>
            <w:r>
              <w:rPr>
                <w:rFonts w:ascii="Arial" w:hAnsi="Arial"/>
                <w:b w:val="0"/>
                <w:i w:val="0"/>
                <w:color w:val="1F2937"/>
                <w:sz w:val="18"/>
              </w:rPr>
              <w:t>Placed fourth; equipment identifiers and context.</w:t>
            </w:r>
          </w:p>
        </w:tc>
      </w:tr>
      <w:tr>
        <w:tc>
          <w:tcPr>
            <w:tcW w:type="dxa" w:w="2400"/>
          </w:tcPr>
          <w:p>
            <w:pPr>
              <w:spacing w:before="0" w:after="0" w:line="252" w:lineRule="auto"/>
              <w:jc w:val="left"/>
            </w:pPr>
            <w:r/>
            <w:r>
              <w:rPr>
                <w:rFonts w:ascii="Arial" w:hAnsi="Arial"/>
                <w:b w:val="0"/>
                <w:i w:val="0"/>
                <w:color w:val="1F2937"/>
                <w:sz w:val="18"/>
              </w:rPr>
              <w:t>Related Outage</w:t>
            </w:r>
          </w:p>
        </w:tc>
        <w:tc>
          <w:tcPr>
            <w:tcW w:type="dxa" w:w="2200"/>
          </w:tcPr>
          <w:p>
            <w:pPr>
              <w:spacing w:before="0" w:after="0" w:line="252" w:lineRule="auto"/>
              <w:jc w:val="left"/>
            </w:pPr>
            <w:r/>
            <w:r>
              <w:rPr>
                <w:rFonts w:ascii="Arial" w:hAnsi="Arial"/>
                <w:b w:val="0"/>
                <w:i w:val="0"/>
                <w:color w:val="1F2937"/>
                <w:sz w:val="18"/>
              </w:rPr>
              <w:t>Lookup to Incident</w:t>
            </w:r>
          </w:p>
        </w:tc>
        <w:tc>
          <w:tcPr>
            <w:tcW w:type="dxa" w:w="4760"/>
          </w:tcPr>
          <w:p>
            <w:pPr>
              <w:spacing w:before="0" w:after="0" w:line="252" w:lineRule="auto"/>
              <w:jc w:val="left"/>
            </w:pPr>
            <w:r/>
            <w:r>
              <w:rPr>
                <w:rFonts w:ascii="Arial" w:hAnsi="Arial"/>
                <w:b w:val="0"/>
                <w:i w:val="0"/>
                <w:color w:val="1F2937"/>
                <w:sz w:val="18"/>
              </w:rPr>
              <w:t>Placed fifth; relationship label is Trouble Tickets.</w:t>
            </w:r>
          </w:p>
        </w:tc>
      </w:tr>
    </w:tbl>
    <w:p>
      <w:pPr>
        <w:spacing w:after="20"/>
      </w:pPr>
    </w:p>
    <w:p>
      <w:pPr>
        <w:pStyle w:val="Heading2"/>
        <w:keepNext/>
      </w:pPr>
      <w:r>
        <w:t>2. Field-level access</w:t>
      </w:r>
    </w:p>
    <w:tbl>
      <w:tblPr>
        <w:tblStyle w:val="TableGrid"/>
        <w:tblW w:type="dxa" w:w="9360"/>
        <w:jc w:val="left"/>
        <w:tblLayout w:type="fixed"/>
        <w:tblLook w:firstColumn="1" w:firstRow="1" w:lastColumn="0" w:lastRow="0" w:noHBand="0" w:noVBand="1" w:val="04A0"/>
        <w:tblInd w:w="120" w:type="dxa"/>
      </w:tblPr>
      <w:tblGrid>
        <w:gridCol w:w="2500"/>
        <w:gridCol w:w="2200"/>
        <w:gridCol w:w="4660"/>
      </w:tblGrid>
      <w:tr>
        <w:trPr>
          <w:tblHeader w:val="true"/>
        </w:trPr>
        <w:tc>
          <w:tcPr>
            <w:tcW w:type="dxa" w:w="25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Profile</w:t>
            </w:r>
          </w:p>
        </w:tc>
        <w:tc>
          <w:tcPr>
            <w:tcW w:type="dxa" w:w="22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SCC-3386 field access</w:t>
            </w:r>
          </w:p>
        </w:tc>
        <w:tc>
          <w:tcPr>
            <w:tcW w:type="dxa" w:w="466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Interpretation</w:t>
            </w:r>
          </w:p>
        </w:tc>
      </w:tr>
      <w:tr>
        <w:tc>
          <w:tcPr>
            <w:tcW w:type="dxa" w:w="2500"/>
          </w:tcPr>
          <w:p>
            <w:pPr>
              <w:spacing w:before="0" w:after="0" w:line="252" w:lineRule="auto"/>
              <w:jc w:val="left"/>
            </w:pPr>
            <w:r/>
            <w:r>
              <w:rPr>
                <w:rFonts w:ascii="Arial" w:hAnsi="Arial"/>
                <w:b w:val="0"/>
                <w:i w:val="0"/>
                <w:color w:val="1F2937"/>
                <w:sz w:val="18"/>
              </w:rPr>
              <w:t>System Administrator (Admin)</w:t>
            </w:r>
          </w:p>
        </w:tc>
        <w:tc>
          <w:tcPr>
            <w:tcW w:type="dxa" w:w="2200"/>
            <w:shd w:fill="FFF6DE"/>
          </w:tcPr>
          <w:p>
            <w:pPr>
              <w:spacing w:before="0" w:after="0" w:line="252" w:lineRule="auto"/>
              <w:jc w:val="center"/>
            </w:pPr>
            <w:r/>
            <w:r>
              <w:rPr>
                <w:rFonts w:ascii="Arial" w:hAnsi="Arial"/>
                <w:b/>
                <w:i w:val="0"/>
                <w:color w:val="B7791F"/>
                <w:sz w:val="19"/>
              </w:rPr>
              <w:t>Readable / editable</w:t>
            </w:r>
          </w:p>
        </w:tc>
        <w:tc>
          <w:tcPr>
            <w:tcW w:type="dxa" w:w="4660"/>
          </w:tcPr>
          <w:p>
            <w:pPr>
              <w:spacing w:before="0" w:after="0" w:line="252" w:lineRule="auto"/>
              <w:jc w:val="left"/>
            </w:pPr>
            <w:r/>
            <w:r>
              <w:rPr>
                <w:rFonts w:ascii="Arial" w:hAnsi="Arial"/>
                <w:b w:val="0"/>
                <w:i w:val="0"/>
                <w:color w:val="1F2937"/>
                <w:sz w:val="18"/>
              </w:rPr>
              <w:t>Configured; 16 active Field Service Mobile assignments also use this profile.</w:t>
            </w:r>
          </w:p>
        </w:tc>
      </w:tr>
      <w:tr>
        <w:tc>
          <w:tcPr>
            <w:tcW w:type="dxa" w:w="2500"/>
          </w:tcPr>
          <w:p>
            <w:pPr>
              <w:spacing w:before="0" w:after="0" w:line="252" w:lineRule="auto"/>
              <w:jc w:val="left"/>
            </w:pPr>
            <w:r/>
            <w:r>
              <w:rPr>
                <w:rFonts w:ascii="Arial" w:hAnsi="Arial"/>
                <w:b w:val="0"/>
                <w:i w:val="0"/>
                <w:color w:val="1F2937"/>
                <w:sz w:val="18"/>
              </w:rPr>
              <w:t>System Administrator - API Only</w:t>
            </w:r>
          </w:p>
        </w:tc>
        <w:tc>
          <w:tcPr>
            <w:tcW w:type="dxa" w:w="2200"/>
            <w:shd w:fill="FFF6DE"/>
          </w:tcPr>
          <w:p>
            <w:pPr>
              <w:spacing w:before="0" w:after="0" w:line="252" w:lineRule="auto"/>
              <w:jc w:val="center"/>
            </w:pPr>
            <w:r/>
            <w:r>
              <w:rPr>
                <w:rFonts w:ascii="Arial" w:hAnsi="Arial"/>
                <w:b/>
                <w:i w:val="0"/>
                <w:color w:val="B7791F"/>
                <w:sz w:val="19"/>
              </w:rPr>
              <w:t>Readable / editable</w:t>
            </w:r>
          </w:p>
        </w:tc>
        <w:tc>
          <w:tcPr>
            <w:tcW w:type="dxa" w:w="4660"/>
          </w:tcPr>
          <w:p>
            <w:pPr>
              <w:spacing w:before="0" w:after="0" w:line="252" w:lineRule="auto"/>
              <w:jc w:val="left"/>
            </w:pPr>
            <w:r/>
            <w:r>
              <w:rPr>
                <w:rFonts w:ascii="Arial" w:hAnsi="Arial"/>
                <w:b w:val="0"/>
                <w:i w:val="0"/>
                <w:color w:val="1F2937"/>
                <w:sz w:val="18"/>
              </w:rPr>
              <w:t>Configured; not the business technician persona.</w:t>
            </w:r>
          </w:p>
        </w:tc>
      </w:tr>
      <w:tr>
        <w:tc>
          <w:tcPr>
            <w:tcW w:type="dxa" w:w="2500"/>
          </w:tcPr>
          <w:p>
            <w:pPr>
              <w:spacing w:before="0" w:after="0" w:line="252" w:lineRule="auto"/>
              <w:jc w:val="left"/>
            </w:pPr>
            <w:r/>
            <w:r>
              <w:rPr>
                <w:rFonts w:ascii="Arial" w:hAnsi="Arial"/>
                <w:b w:val="0"/>
                <w:i w:val="0"/>
                <w:color w:val="1F2937"/>
                <w:sz w:val="18"/>
              </w:rPr>
              <w:t>Standard User (Standard)</w:t>
            </w:r>
          </w:p>
        </w:tc>
        <w:tc>
          <w:tcPr>
            <w:tcW w:type="dxa" w:w="2200"/>
            <w:shd w:fill="FFF6DE"/>
          </w:tcPr>
          <w:p>
            <w:pPr>
              <w:spacing w:before="0" w:after="0" w:line="252" w:lineRule="auto"/>
              <w:jc w:val="center"/>
            </w:pPr>
            <w:r/>
            <w:r>
              <w:rPr>
                <w:rFonts w:ascii="Arial" w:hAnsi="Arial"/>
                <w:b/>
                <w:i w:val="0"/>
                <w:color w:val="B7791F"/>
                <w:sz w:val="19"/>
              </w:rPr>
              <w:t>Readable / read-only</w:t>
            </w:r>
          </w:p>
        </w:tc>
        <w:tc>
          <w:tcPr>
            <w:tcW w:type="dxa" w:w="4660"/>
          </w:tcPr>
          <w:p>
            <w:pPr>
              <w:spacing w:before="0" w:after="0" w:line="252" w:lineRule="auto"/>
              <w:jc w:val="left"/>
            </w:pPr>
            <w:r/>
            <w:r>
              <w:rPr>
                <w:rFonts w:ascii="Arial" w:hAnsi="Arial"/>
                <w:b w:val="0"/>
                <w:i w:val="0"/>
                <w:color w:val="1F2937"/>
                <w:sz w:val="18"/>
              </w:rPr>
              <w:t>Configured, but there are zero active users on this profile.</w:t>
            </w:r>
          </w:p>
        </w:tc>
      </w:tr>
      <w:tr>
        <w:tc>
          <w:tcPr>
            <w:tcW w:type="dxa" w:w="2500"/>
          </w:tcPr>
          <w:p>
            <w:pPr>
              <w:spacing w:before="0" w:after="0" w:line="252" w:lineRule="auto"/>
              <w:jc w:val="left"/>
            </w:pPr>
            <w:r/>
            <w:r>
              <w:rPr>
                <w:rFonts w:ascii="Arial" w:hAnsi="Arial"/>
                <w:b w:val="0"/>
                <w:i w:val="0"/>
                <w:color w:val="1F2937"/>
                <w:sz w:val="18"/>
              </w:rPr>
              <w:t>GPC-Residential CRC Team</w:t>
            </w:r>
          </w:p>
        </w:tc>
        <w:tc>
          <w:tcPr>
            <w:tcW w:type="dxa" w:w="2200"/>
            <w:shd w:fill="FFF6DE"/>
          </w:tcPr>
          <w:p>
            <w:pPr>
              <w:spacing w:before="0" w:after="0" w:line="252" w:lineRule="auto"/>
              <w:jc w:val="center"/>
            </w:pPr>
            <w:r/>
            <w:r>
              <w:rPr>
                <w:rFonts w:ascii="Arial" w:hAnsi="Arial"/>
                <w:b/>
                <w:i w:val="0"/>
                <w:color w:val="B7791F"/>
                <w:sz w:val="19"/>
              </w:rPr>
              <w:t>Not readable</w:t>
            </w:r>
          </w:p>
        </w:tc>
        <w:tc>
          <w:tcPr>
            <w:tcW w:type="dxa" w:w="4660"/>
          </w:tcPr>
          <w:p>
            <w:pPr>
              <w:spacing w:before="0" w:after="0" w:line="252" w:lineRule="auto"/>
              <w:jc w:val="left"/>
            </w:pPr>
            <w:r/>
            <w:r>
              <w:rPr>
                <w:rFonts w:ascii="Arial" w:hAnsi="Arial"/>
                <w:b w:val="0"/>
                <w:i w:val="0"/>
                <w:color w:val="1F2937"/>
                <w:sz w:val="18"/>
              </w:rPr>
              <w:t>Two active Field Service Mobile users; no assigned permission set grants any of the 5 new fields, Service Type, or Subscriber Report.</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DECEC"/>
          </w:tcPr>
          <w:p>
            <w:pPr>
              <w:spacing w:after="40"/>
            </w:pPr>
            <w:r>
              <w:rPr>
                <w:rFonts w:ascii="Arial" w:hAnsi="Arial"/>
                <w:b/>
                <w:i w:val="0"/>
                <w:color w:val="C53030"/>
                <w:sz w:val="18"/>
              </w:rPr>
              <w:t>SECURITY BLOCKER</w:t>
            </w:r>
          </w:p>
          <w:p>
            <w:pPr>
              <w:spacing w:after="0" w:line="259" w:lineRule="auto"/>
            </w:pPr>
            <w:r>
              <w:rPr>
                <w:rFonts w:ascii="Arial" w:hAnsi="Arial"/>
                <w:b/>
                <w:i w:val="0"/>
                <w:color w:val="0B2545"/>
                <w:sz w:val="22"/>
              </w:rPr>
              <w:t>The only non-admin profile with active Field Service Mobile users cannot read the story fields. A read-only quick action cannot override field-level security.</w:t>
            </w:r>
          </w:p>
        </w:tc>
      </w:tr>
    </w:tbl>
    <w:p>
      <w:pPr>
        <w:spacing w:after="20"/>
      </w:pPr>
    </w:p>
    <w:p>
      <w:r>
        <w:br w:type="page"/>
      </w:r>
    </w:p>
    <w:p>
      <w:pPr>
        <w:pStyle w:val="Heading1"/>
        <w:keepNext/>
      </w:pPr>
      <w:r>
        <w:t>UI wiring and regression evidence</w:t>
      </w:r>
    </w:p>
    <w:tbl>
      <w:tblPr>
        <w:tblStyle w:val="TableGrid"/>
        <w:tblW w:type="dxa" w:w="9360"/>
        <w:jc w:val="left"/>
        <w:tblLayout w:type="fixed"/>
        <w:tblLook w:firstColumn="1" w:firstRow="1" w:lastColumn="0" w:lastRow="0" w:noHBand="0" w:noVBand="1" w:val="04A0"/>
        <w:tblInd w:w="120" w:type="dxa"/>
      </w:tblPr>
      <w:tblGrid>
        <w:gridCol w:w="2400"/>
        <w:gridCol w:w="1800"/>
        <w:gridCol w:w="5160"/>
      </w:tblGrid>
      <w:tr>
        <w:trPr>
          <w:tblHeader w:val="true"/>
        </w:trPr>
        <w:tc>
          <w:tcPr>
            <w:tcW w:type="dxa" w:w="24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Area</w:t>
            </w:r>
          </w:p>
        </w:tc>
        <w:tc>
          <w:tcPr>
            <w:tcW w:type="dxa" w:w="18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Result</w:t>
            </w:r>
          </w:p>
        </w:tc>
        <w:tc>
          <w:tcPr>
            <w:tcW w:type="dxa" w:w="516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Evidence</w:t>
            </w:r>
          </w:p>
        </w:tc>
      </w:tr>
      <w:tr>
        <w:tc>
          <w:tcPr>
            <w:tcW w:type="dxa" w:w="2400"/>
          </w:tcPr>
          <w:p>
            <w:pPr>
              <w:spacing w:before="0" w:after="0" w:line="252" w:lineRule="auto"/>
              <w:jc w:val="left"/>
            </w:pPr>
            <w:r/>
            <w:r>
              <w:rPr>
                <w:rFonts w:ascii="Arial" w:hAnsi="Arial"/>
                <w:b w:val="0"/>
                <w:i w:val="0"/>
                <w:color w:val="1F2937"/>
                <w:sz w:val="18"/>
              </w:rPr>
              <w:t>Quick action</w:t>
            </w:r>
          </w:p>
        </w:tc>
        <w:tc>
          <w:tcPr>
            <w:tcW w:type="dxa" w:w="1800"/>
            <w:shd w:fill="FFF6DE"/>
          </w:tcPr>
          <w:p>
            <w:pPr>
              <w:spacing w:before="0" w:after="0" w:line="252" w:lineRule="auto"/>
              <w:jc w:val="center"/>
            </w:pPr>
            <w:r/>
            <w:r>
              <w:rPr>
                <w:rFonts w:ascii="Arial" w:hAnsi="Arial"/>
                <w:b/>
                <w:i w:val="0"/>
                <w:color w:val="B7791F"/>
                <w:sz w:val="19"/>
              </w:rPr>
              <w:t>Present</w:t>
            </w:r>
          </w:p>
        </w:tc>
        <w:tc>
          <w:tcPr>
            <w:tcW w:type="dxa" w:w="5160"/>
          </w:tcPr>
          <w:p>
            <w:pPr>
              <w:spacing w:before="0" w:after="0" w:line="252" w:lineRule="auto"/>
              <w:jc w:val="left"/>
            </w:pPr>
            <w:r/>
            <w:r>
              <w:rPr>
                <w:rFonts w:ascii="Arial" w:hAnsi="Arial"/>
                <w:b w:val="0"/>
                <w:i w:val="0"/>
                <w:color w:val="1F2937"/>
                <w:sz w:val="18"/>
              </w:rPr>
              <w:t>Case.SCC_3386_Trouble_Ticket_Details contains the 9 expected fields, all read-only; Case Status is omitted.</w:t>
            </w:r>
          </w:p>
        </w:tc>
      </w:tr>
      <w:tr>
        <w:tc>
          <w:tcPr>
            <w:tcW w:type="dxa" w:w="2400"/>
          </w:tcPr>
          <w:p>
            <w:pPr>
              <w:spacing w:before="0" w:after="0" w:line="252" w:lineRule="auto"/>
              <w:jc w:val="left"/>
            </w:pPr>
            <w:r/>
            <w:r>
              <w:rPr>
                <w:rFonts w:ascii="Arial" w:hAnsi="Arial"/>
                <w:b w:val="0"/>
                <w:i w:val="0"/>
                <w:color w:val="1F2937"/>
                <w:sz w:val="18"/>
              </w:rPr>
              <w:t>Work Order record page</w:t>
            </w:r>
          </w:p>
        </w:tc>
        <w:tc>
          <w:tcPr>
            <w:tcW w:type="dxa" w:w="1800"/>
            <w:shd w:fill="FFF6DE"/>
          </w:tcPr>
          <w:p>
            <w:pPr>
              <w:spacing w:before="0" w:after="0" w:line="252" w:lineRule="auto"/>
              <w:jc w:val="center"/>
            </w:pPr>
            <w:r/>
            <w:r>
              <w:rPr>
                <w:rFonts w:ascii="Arial" w:hAnsi="Arial"/>
                <w:b/>
                <w:i w:val="0"/>
                <w:color w:val="B7791F"/>
                <w:sz w:val="19"/>
              </w:rPr>
              <w:t>Missing wiring</w:t>
            </w:r>
          </w:p>
        </w:tc>
        <w:tc>
          <w:tcPr>
            <w:tcW w:type="dxa" w:w="5160"/>
          </w:tcPr>
          <w:p>
            <w:pPr>
              <w:spacing w:before="0" w:after="0" w:line="252" w:lineRule="auto"/>
              <w:jc w:val="left"/>
            </w:pPr>
            <w:r/>
            <w:r>
              <w:rPr>
                <w:rFonts w:ascii="Arial" w:hAnsi="Arial"/>
                <w:b w:val="0"/>
                <w:i w:val="0"/>
                <w:color w:val="1F2937"/>
                <w:sz w:val="18"/>
              </w:rPr>
              <w:t>Work_Order_Record_Page contains highlights, chatter, detail, and related lists only; no force:relatedRecord component or SCC-3386 action reference.</w:t>
            </w:r>
          </w:p>
        </w:tc>
      </w:tr>
      <w:tr>
        <w:tc>
          <w:tcPr>
            <w:tcW w:type="dxa" w:w="2400"/>
          </w:tcPr>
          <w:p>
            <w:pPr>
              <w:spacing w:before="0" w:after="0" w:line="252" w:lineRule="auto"/>
              <w:jc w:val="left"/>
            </w:pPr>
            <w:r/>
            <w:r>
              <w:rPr>
                <w:rFonts w:ascii="Arial" w:hAnsi="Arial"/>
                <w:b w:val="0"/>
                <w:i w:val="0"/>
                <w:color w:val="1F2937"/>
                <w:sz w:val="18"/>
              </w:rPr>
              <w:t>Work Order page inventory</w:t>
            </w:r>
          </w:p>
        </w:tc>
        <w:tc>
          <w:tcPr>
            <w:tcW w:type="dxa" w:w="1800"/>
            <w:shd w:fill="FFF6DE"/>
          </w:tcPr>
          <w:p>
            <w:pPr>
              <w:spacing w:before="0" w:after="0" w:line="252" w:lineRule="auto"/>
              <w:jc w:val="center"/>
            </w:pPr>
            <w:r/>
            <w:r>
              <w:rPr>
                <w:rFonts w:ascii="Arial" w:hAnsi="Arial"/>
                <w:b/>
                <w:i w:val="0"/>
                <w:color w:val="B7791F"/>
                <w:sz w:val="19"/>
              </w:rPr>
              <w:t>One page</w:t>
            </w:r>
          </w:p>
        </w:tc>
        <w:tc>
          <w:tcPr>
            <w:tcW w:type="dxa" w:w="5160"/>
          </w:tcPr>
          <w:p>
            <w:pPr>
              <w:spacing w:before="0" w:after="0" w:line="252" w:lineRule="auto"/>
              <w:jc w:val="left"/>
            </w:pPr>
            <w:r/>
            <w:r>
              <w:rPr>
                <w:rFonts w:ascii="Arial" w:hAnsi="Arial"/>
                <w:b w:val="0"/>
                <w:i w:val="0"/>
                <w:color w:val="1F2937"/>
                <w:sz w:val="18"/>
              </w:rPr>
              <w:t>Tooling API found exactly one WorkOrder RecordPage; last modified 10 March 2026, before SCC-3386.</w:t>
            </w:r>
          </w:p>
        </w:tc>
      </w:tr>
      <w:tr>
        <w:tc>
          <w:tcPr>
            <w:tcW w:type="dxa" w:w="2400"/>
          </w:tcPr>
          <w:p>
            <w:pPr>
              <w:spacing w:before="0" w:after="0" w:line="252" w:lineRule="auto"/>
              <w:jc w:val="left"/>
            </w:pPr>
            <w:r/>
            <w:r>
              <w:rPr>
                <w:rFonts w:ascii="Arial" w:hAnsi="Arial"/>
                <w:b w:val="0"/>
                <w:i w:val="0"/>
                <w:color w:val="1F2937"/>
                <w:sz w:val="18"/>
              </w:rPr>
              <w:t>Incident layout</w:t>
            </w:r>
          </w:p>
        </w:tc>
        <w:tc>
          <w:tcPr>
            <w:tcW w:type="dxa" w:w="1800"/>
            <w:shd w:fill="FFF6DE"/>
          </w:tcPr>
          <w:p>
            <w:pPr>
              <w:spacing w:before="0" w:after="0" w:line="252" w:lineRule="auto"/>
              <w:jc w:val="center"/>
            </w:pPr>
            <w:r/>
            <w:r>
              <w:rPr>
                <w:rFonts w:ascii="Arial" w:hAnsi="Arial"/>
                <w:b/>
                <w:i w:val="0"/>
                <w:color w:val="B7791F"/>
                <w:sz w:val="19"/>
              </w:rPr>
              <w:t>Missing related list</w:t>
            </w:r>
          </w:p>
        </w:tc>
        <w:tc>
          <w:tcPr>
            <w:tcW w:type="dxa" w:w="5160"/>
          </w:tcPr>
          <w:p>
            <w:pPr>
              <w:spacing w:before="0" w:after="0" w:line="252" w:lineRule="auto"/>
              <w:jc w:val="left"/>
            </w:pPr>
            <w:r/>
            <w:r>
              <w:rPr>
                <w:rFonts w:ascii="Arial" w:hAnsi="Arial"/>
                <w:b w:val="0"/>
                <w:i w:val="0"/>
                <w:color w:val="1F2937"/>
                <w:sz w:val="18"/>
              </w:rPr>
              <w:t>Outage Incident Layout has Case Related Issues and Files, but not the Related_Outage__c Trouble Tickets relationship.</w:t>
            </w:r>
          </w:p>
        </w:tc>
      </w:tr>
      <w:tr>
        <w:tc>
          <w:tcPr>
            <w:tcW w:type="dxa" w:w="2400"/>
          </w:tcPr>
          <w:p>
            <w:pPr>
              <w:spacing w:before="0" w:after="0" w:line="252" w:lineRule="auto"/>
              <w:jc w:val="left"/>
            </w:pPr>
            <w:r/>
            <w:r>
              <w:rPr>
                <w:rFonts w:ascii="Arial" w:hAnsi="Arial"/>
                <w:b w:val="0"/>
                <w:i w:val="0"/>
                <w:color w:val="1F2937"/>
                <w:sz w:val="18"/>
              </w:rPr>
              <w:t>Create Work Order flow</w:t>
            </w:r>
          </w:p>
        </w:tc>
        <w:tc>
          <w:tcPr>
            <w:tcW w:type="dxa" w:w="1800"/>
            <w:shd w:fill="FFF6DE"/>
          </w:tcPr>
          <w:p>
            <w:pPr>
              <w:spacing w:before="0" w:after="0" w:line="252" w:lineRule="auto"/>
              <w:jc w:val="center"/>
            </w:pPr>
            <w:r/>
            <w:r>
              <w:rPr>
                <w:rFonts w:ascii="Arial" w:hAnsi="Arial"/>
                <w:b/>
                <w:i w:val="0"/>
                <w:color w:val="B7791F"/>
                <w:sz w:val="19"/>
              </w:rPr>
              <w:t>Active/latest v1</w:t>
            </w:r>
          </w:p>
        </w:tc>
        <w:tc>
          <w:tcPr>
            <w:tcW w:type="dxa" w:w="5160"/>
          </w:tcPr>
          <w:p>
            <w:pPr>
              <w:spacing w:before="0" w:after="0" w:line="252" w:lineRule="auto"/>
              <w:jc w:val="left"/>
            </w:pPr>
            <w:r/>
            <w:r>
              <w:rPr>
                <w:rFonts w:ascii="Arial" w:hAnsi="Arial"/>
                <w:b w:val="0"/>
                <w:i w:val="0"/>
                <w:color w:val="1F2937"/>
                <w:sz w:val="18"/>
              </w:rPr>
              <w:t>SCC_3385_Create_Trouble_Ticket_Work_Order is active; runtime regression remains unproven.</w:t>
            </w:r>
          </w:p>
        </w:tc>
      </w:tr>
    </w:tbl>
    <w:p>
      <w:pPr>
        <w:spacing w:after="20"/>
      </w:pPr>
    </w:p>
    <w:p>
      <w:pPr>
        <w:pStyle w:val="Heading2"/>
        <w:keepNext/>
      </w:pPr>
      <w:r>
        <w:t>Read-only evidence boundary</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Boundary</w:t>
            </w:r>
          </w:p>
        </w:tc>
        <w:tc>
          <w:tcPr>
            <w:tcW w:type="dxa" w:w="686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Evidence</w:t>
            </w:r>
          </w:p>
        </w:tc>
      </w:tr>
      <w:tr>
        <w:tc>
          <w:tcPr>
            <w:tcW w:type="dxa" w:w="2500"/>
          </w:tcPr>
          <w:p>
            <w:pPr>
              <w:spacing w:before="0" w:after="0" w:line="252" w:lineRule="auto"/>
              <w:jc w:val="left"/>
            </w:pPr>
            <w:r/>
            <w:r>
              <w:rPr>
                <w:rFonts w:ascii="Arial" w:hAnsi="Arial"/>
                <w:b w:val="0"/>
                <w:i w:val="0"/>
                <w:color w:val="1F2937"/>
                <w:sz w:val="18"/>
              </w:rPr>
              <w:t>Metadata retrieved</w:t>
            </w:r>
          </w:p>
        </w:tc>
        <w:tc>
          <w:tcPr>
            <w:tcW w:type="dxa" w:w="6860"/>
          </w:tcPr>
          <w:p>
            <w:pPr>
              <w:spacing w:before="0" w:after="0" w:line="252" w:lineRule="auto"/>
              <w:jc w:val="left"/>
            </w:pPr>
            <w:r/>
            <w:r>
              <w:rPr>
                <w:rFonts w:ascii="Arial" w:hAnsi="Arial"/>
                <w:b w:val="0"/>
                <w:i w:val="0"/>
                <w:color w:val="1F2937"/>
                <w:sz w:val="18"/>
              </w:rPr>
              <w:t>13 named components plus the Case object container (14 source files).</w:t>
            </w:r>
          </w:p>
        </w:tc>
      </w:tr>
      <w:tr>
        <w:tc>
          <w:tcPr>
            <w:tcW w:type="dxa" w:w="2500"/>
          </w:tcPr>
          <w:p>
            <w:pPr>
              <w:spacing w:before="0" w:after="0" w:line="252" w:lineRule="auto"/>
              <w:jc w:val="left"/>
            </w:pPr>
            <w:r/>
            <w:r>
              <w:rPr>
                <w:rFonts w:ascii="Arial" w:hAnsi="Arial"/>
                <w:b w:val="0"/>
                <w:i w:val="0"/>
                <w:color w:val="1F2937"/>
                <w:sz w:val="18"/>
              </w:rPr>
              <w:t>Named UAT data</w:t>
            </w:r>
          </w:p>
        </w:tc>
        <w:tc>
          <w:tcPr>
            <w:tcW w:type="dxa" w:w="6860"/>
          </w:tcPr>
          <w:p>
            <w:pPr>
              <w:spacing w:before="0" w:after="0" w:line="252" w:lineRule="auto"/>
              <w:jc w:val="left"/>
            </w:pPr>
            <w:r/>
            <w:r>
              <w:rPr>
                <w:rFonts w:ascii="Arial" w:hAnsi="Arial"/>
                <w:b w:val="0"/>
                <w:i w:val="0"/>
                <w:color w:val="1F2937"/>
                <w:sz w:val="18"/>
              </w:rPr>
              <w:t>No Case records exist for Account 'SCC-3386 UAT Customer'.</w:t>
            </w:r>
          </w:p>
        </w:tc>
      </w:tr>
      <w:tr>
        <w:tc>
          <w:tcPr>
            <w:tcW w:type="dxa" w:w="2500"/>
          </w:tcPr>
          <w:p>
            <w:pPr>
              <w:spacing w:before="0" w:after="0" w:line="252" w:lineRule="auto"/>
              <w:jc w:val="left"/>
            </w:pPr>
            <w:r/>
            <w:r>
              <w:rPr>
                <w:rFonts w:ascii="Arial" w:hAnsi="Arial"/>
                <w:b w:val="0"/>
                <w:i w:val="0"/>
                <w:color w:val="1F2937"/>
                <w:sz w:val="18"/>
              </w:rPr>
              <w:t>Tests not executed</w:t>
            </w:r>
          </w:p>
        </w:tc>
        <w:tc>
          <w:tcPr>
            <w:tcW w:type="dxa" w:w="6860"/>
          </w:tcPr>
          <w:p>
            <w:pPr>
              <w:spacing w:before="0" w:after="0" w:line="252" w:lineRule="auto"/>
              <w:jc w:val="left"/>
            </w:pPr>
            <w:r/>
            <w:r>
              <w:rPr>
                <w:rFonts w:ascii="Arial" w:hAnsi="Arial"/>
                <w:b w:val="0"/>
                <w:i w:val="0"/>
                <w:color w:val="1F2937"/>
                <w:sz w:val="18"/>
              </w:rPr>
              <w:t>No Account, Case, Incident, Work Order, Task, or mobile-session records were created or changed.</w:t>
            </w:r>
          </w:p>
        </w:tc>
      </w:tr>
      <w:tr>
        <w:tc>
          <w:tcPr>
            <w:tcW w:type="dxa" w:w="2500"/>
          </w:tcPr>
          <w:p>
            <w:pPr>
              <w:spacing w:before="0" w:after="0" w:line="252" w:lineRule="auto"/>
              <w:jc w:val="left"/>
            </w:pPr>
            <w:r/>
            <w:r>
              <w:rPr>
                <w:rFonts w:ascii="Arial" w:hAnsi="Arial"/>
                <w:b w:val="0"/>
                <w:i w:val="0"/>
                <w:color w:val="1F2937"/>
                <w:sz w:val="18"/>
              </w:rPr>
              <w:t>Deployment validation</w:t>
            </w:r>
          </w:p>
        </w:tc>
        <w:tc>
          <w:tcPr>
            <w:tcW w:type="dxa" w:w="6860"/>
          </w:tcPr>
          <w:p>
            <w:pPr>
              <w:spacing w:before="0" w:after="0" w:line="252" w:lineRule="auto"/>
              <w:jc w:val="left"/>
            </w:pPr>
            <w:r/>
            <w:r>
              <w:rPr>
                <w:rFonts w:ascii="Arial" w:hAnsi="Arial"/>
                <w:b w:val="0"/>
                <w:i w:val="0"/>
                <w:color w:val="1F2937"/>
                <w:sz w:val="18"/>
              </w:rPr>
              <w:t>Not performed; no check-only deployment or production action was requested.</w:t>
            </w:r>
          </w:p>
        </w:tc>
      </w:tr>
    </w:tbl>
    <w:p>
      <w:pPr>
        <w:spacing w:after="20"/>
      </w:pPr>
    </w:p>
    <w:p>
      <w:r>
        <w:br w:type="page"/>
      </w:r>
    </w:p>
    <w:p>
      <w:pPr>
        <w:pStyle w:val="Heading1"/>
        <w:keepNext/>
      </w:pPr>
      <w:r>
        <w:t>Required approval gates</w:t>
      </w:r>
    </w:p>
    <w:tbl>
      <w:tblPr>
        <w:tblStyle w:val="TableGrid"/>
        <w:tblW w:type="dxa" w:w="9360"/>
        <w:jc w:val="left"/>
        <w:tblLayout w:type="fixed"/>
        <w:tblLook w:firstColumn="1" w:firstRow="1" w:lastColumn="0" w:lastRow="0" w:noHBand="0" w:noVBand="1" w:val="04A0"/>
        <w:tblInd w:w="120" w:type="dxa"/>
      </w:tblPr>
      <w:tblGrid>
        <w:gridCol w:w="600"/>
        <w:gridCol w:w="2700"/>
        <w:gridCol w:w="2100"/>
        <w:gridCol w:w="3960"/>
      </w:tblGrid>
      <w:tr>
        <w:trPr>
          <w:tblHeader w:val="true"/>
        </w:trPr>
        <w:tc>
          <w:tcPr>
            <w:tcW w:type="dxa" w:w="6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Gate</w:t>
            </w:r>
          </w:p>
        </w:tc>
        <w:tc>
          <w:tcPr>
            <w:tcW w:type="dxa" w:w="27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Required action</w:t>
            </w:r>
          </w:p>
        </w:tc>
        <w:tc>
          <w:tcPr>
            <w:tcW w:type="dxa" w:w="21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Owner</w:t>
            </w:r>
          </w:p>
        </w:tc>
        <w:tc>
          <w:tcPr>
            <w:tcW w:type="dxa" w:w="396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Evidence needed</w:t>
            </w:r>
          </w:p>
        </w:tc>
      </w:tr>
      <w:tr>
        <w:tc>
          <w:tcPr>
            <w:tcW w:type="dxa" w:w="600"/>
          </w:tcPr>
          <w:p>
            <w:pPr>
              <w:spacing w:before="0" w:after="0" w:line="252" w:lineRule="auto"/>
              <w:jc w:val="left"/>
            </w:pPr>
            <w:r/>
            <w:r>
              <w:rPr>
                <w:rFonts w:ascii="Arial" w:hAnsi="Arial"/>
                <w:b w:val="0"/>
                <w:i w:val="0"/>
                <w:color w:val="1F2937"/>
                <w:sz w:val="18"/>
              </w:rPr>
              <w:t>1</w:t>
            </w:r>
          </w:p>
        </w:tc>
        <w:tc>
          <w:tcPr>
            <w:tcW w:type="dxa" w:w="2700"/>
          </w:tcPr>
          <w:p>
            <w:pPr>
              <w:spacing w:before="0" w:after="0" w:line="252" w:lineRule="auto"/>
              <w:jc w:val="left"/>
            </w:pPr>
            <w:r/>
            <w:r>
              <w:rPr>
                <w:rFonts w:ascii="Arial" w:hAnsi="Arial"/>
                <w:b w:val="0"/>
                <w:i w:val="0"/>
                <w:color w:val="1F2937"/>
                <w:sz w:val="18"/>
              </w:rPr>
              <w:t>Wire the Work Order page</w:t>
            </w:r>
          </w:p>
        </w:tc>
        <w:tc>
          <w:tcPr>
            <w:tcW w:type="dxa" w:w="2100"/>
          </w:tcPr>
          <w:p>
            <w:pPr>
              <w:spacing w:before="0" w:after="0" w:line="252" w:lineRule="auto"/>
              <w:jc w:val="left"/>
            </w:pPr>
            <w:r/>
            <w:r>
              <w:rPr>
                <w:rFonts w:ascii="Arial" w:hAnsi="Arial"/>
                <w:b w:val="0"/>
                <w:i w:val="0"/>
                <w:color w:val="1F2937"/>
                <w:sz w:val="18"/>
              </w:rPr>
              <w:t>Salesforce admin</w:t>
            </w:r>
          </w:p>
        </w:tc>
        <w:tc>
          <w:tcPr>
            <w:tcW w:type="dxa" w:w="3960"/>
          </w:tcPr>
          <w:p>
            <w:pPr>
              <w:spacing w:before="0" w:after="0" w:line="252" w:lineRule="auto"/>
              <w:jc w:val="left"/>
            </w:pPr>
            <w:r/>
            <w:r>
              <w:rPr>
                <w:rFonts w:ascii="Arial" w:hAnsi="Arial"/>
                <w:b w:val="0"/>
                <w:i w:val="0"/>
                <w:color w:val="1F2937"/>
                <w:sz w:val="18"/>
              </w:rPr>
              <w:t>Add a Related Record component using the Case lookup and SCC-3386 read-only action; verify desktop and mobile assignment.</w:t>
            </w:r>
          </w:p>
        </w:tc>
      </w:tr>
      <w:tr>
        <w:tc>
          <w:tcPr>
            <w:tcW w:type="dxa" w:w="600"/>
          </w:tcPr>
          <w:p>
            <w:pPr>
              <w:spacing w:before="0" w:after="0" w:line="252" w:lineRule="auto"/>
              <w:jc w:val="left"/>
            </w:pPr>
            <w:r/>
            <w:r>
              <w:rPr>
                <w:rFonts w:ascii="Arial" w:hAnsi="Arial"/>
                <w:b w:val="0"/>
                <w:i w:val="0"/>
                <w:color w:val="1F2937"/>
                <w:sz w:val="18"/>
              </w:rPr>
              <w:t>2</w:t>
            </w:r>
          </w:p>
        </w:tc>
        <w:tc>
          <w:tcPr>
            <w:tcW w:type="dxa" w:w="2700"/>
          </w:tcPr>
          <w:p>
            <w:pPr>
              <w:spacing w:before="0" w:after="0" w:line="252" w:lineRule="auto"/>
              <w:jc w:val="left"/>
            </w:pPr>
            <w:r/>
            <w:r>
              <w:rPr>
                <w:rFonts w:ascii="Arial" w:hAnsi="Arial"/>
                <w:b w:val="0"/>
                <w:i w:val="0"/>
                <w:color w:val="1F2937"/>
                <w:sz w:val="18"/>
              </w:rPr>
              <w:t>Grant technician read access</w:t>
            </w:r>
          </w:p>
        </w:tc>
        <w:tc>
          <w:tcPr>
            <w:tcW w:type="dxa" w:w="2100"/>
          </w:tcPr>
          <w:p>
            <w:pPr>
              <w:spacing w:before="0" w:after="0" w:line="252" w:lineRule="auto"/>
              <w:jc w:val="left"/>
            </w:pPr>
            <w:r/>
            <w:r>
              <w:rPr>
                <w:rFonts w:ascii="Arial" w:hAnsi="Arial"/>
                <w:b w:val="0"/>
                <w:i w:val="0"/>
                <w:color w:val="1F2937"/>
                <w:sz w:val="18"/>
              </w:rPr>
              <w:t>Security owner / Admin</w:t>
            </w:r>
          </w:p>
        </w:tc>
        <w:tc>
          <w:tcPr>
            <w:tcW w:type="dxa" w:w="3960"/>
          </w:tcPr>
          <w:p>
            <w:pPr>
              <w:spacing w:before="0" w:after="0" w:line="252" w:lineRule="auto"/>
              <w:jc w:val="left"/>
            </w:pPr>
            <w:r/>
            <w:r>
              <w:rPr>
                <w:rFonts w:ascii="Arial" w:hAnsi="Arial"/>
                <w:b w:val="0"/>
                <w:i w:val="0"/>
                <w:color w:val="1F2937"/>
                <w:sz w:val="18"/>
              </w:rPr>
              <w:t>Give the actual technician profile or permission set read access to all 9 displayed Case fields, without Case Status edit access.</w:t>
            </w:r>
          </w:p>
        </w:tc>
      </w:tr>
      <w:tr>
        <w:tc>
          <w:tcPr>
            <w:tcW w:type="dxa" w:w="600"/>
          </w:tcPr>
          <w:p>
            <w:pPr>
              <w:spacing w:before="0" w:after="0" w:line="252" w:lineRule="auto"/>
              <w:jc w:val="left"/>
            </w:pPr>
            <w:r/>
            <w:r>
              <w:rPr>
                <w:rFonts w:ascii="Arial" w:hAnsi="Arial"/>
                <w:b w:val="0"/>
                <w:i w:val="0"/>
                <w:color w:val="1F2937"/>
                <w:sz w:val="18"/>
              </w:rPr>
              <w:t>3</w:t>
            </w:r>
          </w:p>
        </w:tc>
        <w:tc>
          <w:tcPr>
            <w:tcW w:type="dxa" w:w="2700"/>
          </w:tcPr>
          <w:p>
            <w:pPr>
              <w:spacing w:before="0" w:after="0" w:line="252" w:lineRule="auto"/>
              <w:jc w:val="left"/>
            </w:pPr>
            <w:r/>
            <w:r>
              <w:rPr>
                <w:rFonts w:ascii="Arial" w:hAnsi="Arial"/>
                <w:b w:val="0"/>
                <w:i w:val="0"/>
                <w:color w:val="1F2937"/>
                <w:sz w:val="18"/>
              </w:rPr>
              <w:t>Add Incident related list</w:t>
            </w:r>
          </w:p>
        </w:tc>
        <w:tc>
          <w:tcPr>
            <w:tcW w:type="dxa" w:w="2100"/>
          </w:tcPr>
          <w:p>
            <w:pPr>
              <w:spacing w:before="0" w:after="0" w:line="252" w:lineRule="auto"/>
              <w:jc w:val="left"/>
            </w:pPr>
            <w:r/>
            <w:r>
              <w:rPr>
                <w:rFonts w:ascii="Arial" w:hAnsi="Arial"/>
                <w:b w:val="0"/>
                <w:i w:val="0"/>
                <w:color w:val="1F2937"/>
                <w:sz w:val="18"/>
              </w:rPr>
              <w:t>Salesforce admin</w:t>
            </w:r>
          </w:p>
        </w:tc>
        <w:tc>
          <w:tcPr>
            <w:tcW w:type="dxa" w:w="3960"/>
          </w:tcPr>
          <w:p>
            <w:pPr>
              <w:spacing w:before="0" w:after="0" w:line="252" w:lineRule="auto"/>
              <w:jc w:val="left"/>
            </w:pPr>
            <w:r/>
            <w:r>
              <w:rPr>
                <w:rFonts w:ascii="Arial" w:hAnsi="Arial"/>
                <w:b w:val="0"/>
                <w:i w:val="0"/>
                <w:color w:val="1F2937"/>
                <w:sz w:val="18"/>
              </w:rPr>
              <w:t>Place Trouble Tickets on Outage Incident Layout and confirm navigation from Case to Incident and back.</w:t>
            </w:r>
          </w:p>
        </w:tc>
      </w:tr>
      <w:tr>
        <w:tc>
          <w:tcPr>
            <w:tcW w:type="dxa" w:w="600"/>
          </w:tcPr>
          <w:p>
            <w:pPr>
              <w:spacing w:before="0" w:after="0" w:line="252" w:lineRule="auto"/>
              <w:jc w:val="left"/>
            </w:pPr>
            <w:r/>
            <w:r>
              <w:rPr>
                <w:rFonts w:ascii="Arial" w:hAnsi="Arial"/>
                <w:b w:val="0"/>
                <w:i w:val="0"/>
                <w:color w:val="1F2937"/>
                <w:sz w:val="18"/>
              </w:rPr>
              <w:t>4</w:t>
            </w:r>
          </w:p>
        </w:tc>
        <w:tc>
          <w:tcPr>
            <w:tcW w:type="dxa" w:w="2700"/>
          </w:tcPr>
          <w:p>
            <w:pPr>
              <w:spacing w:before="0" w:after="0" w:line="252" w:lineRule="auto"/>
              <w:jc w:val="left"/>
            </w:pPr>
            <w:r/>
            <w:r>
              <w:rPr>
                <w:rFonts w:ascii="Arial" w:hAnsi="Arial"/>
                <w:b w:val="0"/>
                <w:i w:val="0"/>
                <w:color w:val="1F2937"/>
                <w:sz w:val="18"/>
              </w:rPr>
              <w:t>Run named-persona tests</w:t>
            </w:r>
          </w:p>
        </w:tc>
        <w:tc>
          <w:tcPr>
            <w:tcW w:type="dxa" w:w="2100"/>
          </w:tcPr>
          <w:p>
            <w:pPr>
              <w:spacing w:before="0" w:after="0" w:line="252" w:lineRule="auto"/>
              <w:jc w:val="left"/>
            </w:pPr>
            <w:r/>
            <w:r>
              <w:rPr>
                <w:rFonts w:ascii="Arial" w:hAnsi="Arial"/>
                <w:b w:val="0"/>
                <w:i w:val="0"/>
                <w:color w:val="1F2937"/>
                <w:sz w:val="18"/>
              </w:rPr>
              <w:t>QA / Field Service</w:t>
            </w:r>
          </w:p>
        </w:tc>
        <w:tc>
          <w:tcPr>
            <w:tcW w:type="dxa" w:w="3960"/>
          </w:tcPr>
          <w:p>
            <w:pPr>
              <w:spacing w:before="0" w:after="0" w:line="252" w:lineRule="auto"/>
              <w:jc w:val="left"/>
            </w:pPr>
            <w:r/>
            <w:r>
              <w:rPr>
                <w:rFonts w:ascii="Arial" w:hAnsi="Arial"/>
                <w:b w:val="0"/>
                <w:i w:val="0"/>
                <w:color w:val="1F2937"/>
                <w:sz w:val="18"/>
              </w:rPr>
              <w:t>Execute all four story tests using a named Field Service Mobile user and capture record IDs/screenshots.</w:t>
            </w:r>
          </w:p>
        </w:tc>
      </w:tr>
      <w:tr>
        <w:tc>
          <w:tcPr>
            <w:tcW w:type="dxa" w:w="600"/>
          </w:tcPr>
          <w:p>
            <w:pPr>
              <w:spacing w:before="0" w:after="0" w:line="252" w:lineRule="auto"/>
              <w:jc w:val="left"/>
            </w:pPr>
            <w:r/>
            <w:r>
              <w:rPr>
                <w:rFonts w:ascii="Arial" w:hAnsi="Arial"/>
                <w:b w:val="0"/>
                <w:i w:val="0"/>
                <w:color w:val="1F2937"/>
                <w:sz w:val="18"/>
              </w:rPr>
              <w:t>5</w:t>
            </w:r>
          </w:p>
        </w:tc>
        <w:tc>
          <w:tcPr>
            <w:tcW w:type="dxa" w:w="2700"/>
          </w:tcPr>
          <w:p>
            <w:pPr>
              <w:spacing w:before="0" w:after="0" w:line="252" w:lineRule="auto"/>
              <w:jc w:val="left"/>
            </w:pPr>
            <w:r/>
            <w:r>
              <w:rPr>
                <w:rFonts w:ascii="Arial" w:hAnsi="Arial"/>
                <w:b w:val="0"/>
                <w:i w:val="0"/>
                <w:color w:val="1F2937"/>
                <w:sz w:val="18"/>
              </w:rPr>
              <w:t>Confirm deployment inventory</w:t>
            </w:r>
          </w:p>
        </w:tc>
        <w:tc>
          <w:tcPr>
            <w:tcW w:type="dxa" w:w="2100"/>
          </w:tcPr>
          <w:p>
            <w:pPr>
              <w:spacing w:before="0" w:after="0" w:line="252" w:lineRule="auto"/>
              <w:jc w:val="left"/>
            </w:pPr>
            <w:r/>
            <w:r>
              <w:rPr>
                <w:rFonts w:ascii="Arial" w:hAnsi="Arial"/>
                <w:b w:val="0"/>
                <w:i w:val="0"/>
                <w:color w:val="1F2937"/>
                <w:sz w:val="18"/>
              </w:rPr>
              <w:t>Release manager</w:t>
            </w:r>
          </w:p>
        </w:tc>
        <w:tc>
          <w:tcPr>
            <w:tcW w:type="dxa" w:w="3960"/>
          </w:tcPr>
          <w:p>
            <w:pPr>
              <w:spacing w:before="0" w:after="0" w:line="252" w:lineRule="auto"/>
              <w:jc w:val="left"/>
            </w:pPr>
            <w:r/>
            <w:r>
              <w:rPr>
                <w:rFonts w:ascii="Arial" w:hAnsi="Arial"/>
                <w:b w:val="0"/>
                <w:i w:val="0"/>
                <w:color w:val="1F2937"/>
                <w:sz w:val="18"/>
              </w:rPr>
              <w:t>Add Work_Order_Record_Page and Incident-Outage Incident Layout to the story component list/package.</w:t>
            </w:r>
          </w:p>
        </w:tc>
      </w:tr>
    </w:tbl>
    <w:p>
      <w:pPr>
        <w:spacing w:after="20"/>
      </w:pPr>
    </w:p>
    <w:p>
      <w:pPr>
        <w:pStyle w:val="Heading1"/>
        <w:keepNext/>
      </w:pPr>
      <w:r>
        <w:t>Ready-to-paste architect response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2FA"/>
          </w:tcPr>
          <w:p>
            <w:pPr>
              <w:spacing w:after="40"/>
            </w:pPr>
            <w:r>
              <w:rPr>
                <w:rFonts w:ascii="Arial" w:hAnsi="Arial"/>
                <w:b/>
                <w:i w:val="0"/>
                <w:color w:val="2E74B5"/>
                <w:sz w:val="18"/>
              </w:rPr>
              <w:t>STORY COMMENT</w:t>
            </w:r>
          </w:p>
          <w:p>
            <w:pPr>
              <w:spacing w:after="0" w:line="259" w:lineRule="auto"/>
            </w:pPr>
            <w:r>
              <w:rPr>
                <w:rFonts w:ascii="Arial" w:hAnsi="Arial"/>
                <w:b/>
                <w:i w:val="0"/>
                <w:color w:val="0B2545"/>
                <w:sz w:val="22"/>
              </w:rPr>
              <w:t>Architect review completed in the GreatPlainsMerge sandbox. Changes Requested: the five SCC-3386 Case fields and the nine-field read-only quick action are present, but the only Work Order record page does not reference the quick action or contain a Related Record component. The two active Field Service Mobile users on GPC-Residential CRC Team cannot read the new Case fields, and no assigned permission set compensates. The Related Outage lookup exists, but Outage Incident Layout does not include the Trouble Tickets related list. The SCC-3385 Create Work Order flow is active/latest v1, but runtime regression was not executed because this was a no-write review and the named SCC-3386 UAT data does not exist. Please complete the five gates above and rerun the story tests with a named technician before promotion. No org data, metadata, activation, or deployment changes were made.</w:t>
            </w:r>
          </w:p>
        </w:tc>
      </w:tr>
    </w:tbl>
    <w:p>
      <w:pPr>
        <w:spacing w:after="20"/>
      </w:pP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GreatPlainsMerge  |  Page </w:t>
    </w:r>
    <w:r>
      <w:rPr>
        <w:rFonts w:ascii="Arial" w:hAnsi="Arial"/>
        <w:b w:val="0"/>
        <w:i w:val="0"/>
        <w:color w:val="5B6777"/>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GreatPlainsMerge  |  Page </w:t>
    </w:r>
    <w:r>
      <w:rPr>
        <w:rFonts w:ascii="Arial" w:hAnsi="Arial"/>
        <w:b w:val="0"/>
        <w:i w:val="0"/>
        <w:color w:val="5B6777"/>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GreatPlainsMerge  |  Page </w:t>
    </w:r>
    <w:r>
      <w:rPr>
        <w:rFonts w:ascii="Arial" w:hAnsi="Arial"/>
        <w:b w:val="0"/>
        <w:i w:val="0"/>
        <w:color w:val="5B6777"/>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SCC-3386 Field Technician Context Architect Review</dc:title>
  <dc:subject>Read-only dry-run and readiness assessment</dc:subject>
  <dc:creator>Solution Architecture Review</dc:creator>
  <cp:keywords>Salesforce, Great Plains, SCC-3386, Field Service, architect review, dry run</cp:keywords>
  <dc:description>generated by python-docx</dc:description>
  <cp:lastModifiedBy/>
  <cp:revision>1</cp:revision>
  <dcterms:created xsi:type="dcterms:W3CDTF">2013-12-23T23:15:00Z</dcterms:created>
  <dcterms:modified xsi:type="dcterms:W3CDTF">2013-12-23T23:15:00Z</dcterms:modified>
  <cp:category/>
</cp:coreProperties>
</file>