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Arial" w:hAnsi="Arial"/>
          <w:b/>
          <w:i w:val="0"/>
          <w:color w:val="000000"/>
          <w:sz w:val="20"/>
        </w:rPr>
        <w:t>PEER REVIEW</w:t>
      </w:r>
    </w:p>
    <w:p>
      <w:pPr>
        <w:pStyle w:val="Title"/>
      </w:pPr>
      <w:r>
        <w:t>SCC 4095 Gantt Label Peer Review</w:t>
      </w:r>
    </w:p>
    <w:p>
      <w:pPr>
        <w:spacing w:after="280"/>
      </w:pPr>
      <w:r>
        <w:rPr>
          <w:rFonts w:ascii="Arial" w:hAnsi="Arial"/>
          <w:b w:val="0"/>
          <w:i w:val="0"/>
          <w:color w:val="000000"/>
          <w:sz w:val="26"/>
        </w:rPr>
        <w:t>Great Plains DevA Sandbox Check only implementation assessment</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00"/>
        <w:gridCol w:w="7460"/>
      </w:tblGrid>
      <w:tr>
        <w:tc>
          <w:tcPr>
            <w:tcW w:type="dxa" w:w="1900"/>
            <w:tcMar>
              <w:top w:w="85" w:type="dxa"/>
              <w:start w:w="120" w:type="dxa"/>
              <w:bottom w:w="85" w:type="dxa"/>
              <w:end w:w="120" w:type="dxa"/>
            </w:tcMar>
            <w:vAlign w:val="center"/>
            <w:shd w:fill="EAF2FA"/>
          </w:tcPr>
          <w:p>
            <w:pPr>
              <w:spacing w:before="0" w:after="0" w:line="252" w:lineRule="auto"/>
              <w:jc w:val="left"/>
            </w:pPr>
            <w:r/>
            <w:r>
              <w:rPr>
                <w:rFonts w:ascii="Arial" w:hAnsi="Arial"/>
                <w:b/>
                <w:i w:val="0"/>
                <w:color w:val="0B2545"/>
                <w:sz w:val="19"/>
              </w:rPr>
              <w:t>Environment</w:t>
            </w:r>
          </w:p>
        </w:tc>
        <w:tc>
          <w:tcPr>
            <w:tcW w:type="dxa" w:w="7460"/>
            <w:tcMar>
              <w:top w:w="85" w:type="dxa"/>
              <w:start w:w="120" w:type="dxa"/>
              <w:bottom w:w="85" w:type="dxa"/>
              <w:end w:w="120" w:type="dxa"/>
            </w:tcMar>
            <w:vAlign w:val="center"/>
          </w:tcPr>
          <w:p>
            <w:pPr>
              <w:spacing w:before="0" w:after="0" w:line="252" w:lineRule="auto"/>
              <w:jc w:val="left"/>
            </w:pPr>
            <w:r/>
            <w:r>
              <w:rPr>
                <w:rFonts w:ascii="Arial" w:hAnsi="Arial"/>
                <w:b w:val="0"/>
                <w:i w:val="0"/>
                <w:color w:val="1F2937"/>
                <w:sz w:val="18"/>
              </w:rPr>
              <w:t>GreatPlainsDevA sandbox | Great Plains Communications | Org 00DEa00000Fc086MAB</w:t>
            </w:r>
          </w:p>
        </w:tc>
      </w:tr>
      <w:tr>
        <w:tc>
          <w:tcPr>
            <w:tcW w:type="dxa" w:w="1900"/>
            <w:tcMar>
              <w:top w:w="85" w:type="dxa"/>
              <w:start w:w="120" w:type="dxa"/>
              <w:bottom w:w="85" w:type="dxa"/>
              <w:end w:w="120" w:type="dxa"/>
            </w:tcMar>
            <w:vAlign w:val="center"/>
            <w:shd w:fill="EAF2FA"/>
          </w:tcPr>
          <w:p>
            <w:pPr>
              <w:spacing w:before="0" w:after="0" w:line="252" w:lineRule="auto"/>
              <w:jc w:val="left"/>
            </w:pPr>
            <w:r/>
            <w:r>
              <w:rPr>
                <w:rFonts w:ascii="Arial" w:hAnsi="Arial"/>
                <w:b/>
                <w:i w:val="0"/>
                <w:color w:val="0B2545"/>
                <w:sz w:val="19"/>
              </w:rPr>
              <w:t>Review date</w:t>
            </w:r>
          </w:p>
        </w:tc>
        <w:tc>
          <w:tcPr>
            <w:tcW w:type="dxa" w:w="7460"/>
            <w:tcMar>
              <w:top w:w="85" w:type="dxa"/>
              <w:start w:w="120" w:type="dxa"/>
              <w:bottom w:w="85" w:type="dxa"/>
              <w:end w:w="120" w:type="dxa"/>
            </w:tcMar>
            <w:vAlign w:val="center"/>
          </w:tcPr>
          <w:p>
            <w:pPr>
              <w:spacing w:before="0" w:after="0" w:line="252" w:lineRule="auto"/>
              <w:jc w:val="left"/>
            </w:pPr>
            <w:r/>
            <w:r>
              <w:rPr>
                <w:rFonts w:ascii="Arial" w:hAnsi="Arial"/>
                <w:b w:val="0"/>
                <w:i w:val="0"/>
                <w:color w:val="1F2937"/>
                <w:sz w:val="18"/>
              </w:rPr>
              <w:t>5 September 2026</w:t>
            </w:r>
          </w:p>
        </w:tc>
      </w:tr>
      <w:tr>
        <w:tc>
          <w:tcPr>
            <w:tcW w:type="dxa" w:w="1900"/>
            <w:tcMar>
              <w:top w:w="85" w:type="dxa"/>
              <w:start w:w="120" w:type="dxa"/>
              <w:bottom w:w="85" w:type="dxa"/>
              <w:end w:w="120" w:type="dxa"/>
            </w:tcMar>
            <w:vAlign w:val="center"/>
            <w:shd w:fill="EAF2FA"/>
          </w:tcPr>
          <w:p>
            <w:pPr>
              <w:spacing w:before="0" w:after="0" w:line="252" w:lineRule="auto"/>
              <w:jc w:val="left"/>
            </w:pPr>
            <w:r/>
            <w:r>
              <w:rPr>
                <w:rFonts w:ascii="Arial" w:hAnsi="Arial"/>
                <w:b/>
                <w:i w:val="0"/>
                <w:color w:val="0B2545"/>
                <w:sz w:val="19"/>
              </w:rPr>
              <w:t>Focused retrieval</w:t>
            </w:r>
          </w:p>
        </w:tc>
        <w:tc>
          <w:tcPr>
            <w:tcW w:type="dxa" w:w="7460"/>
            <w:tcMar>
              <w:top w:w="85" w:type="dxa"/>
              <w:start w:w="120" w:type="dxa"/>
              <w:bottom w:w="85" w:type="dxa"/>
              <w:end w:w="120" w:type="dxa"/>
            </w:tcMar>
            <w:vAlign w:val="center"/>
          </w:tcPr>
          <w:p>
            <w:pPr>
              <w:spacing w:before="0" w:after="0" w:line="252" w:lineRule="auto"/>
              <w:jc w:val="left"/>
            </w:pPr>
            <w:r/>
            <w:r>
              <w:rPr>
                <w:rFonts w:ascii="Arial" w:hAnsi="Arial"/>
                <w:b w:val="0"/>
                <w:i w:val="0"/>
                <w:color w:val="1F2937"/>
                <w:sz w:val="18"/>
              </w:rPr>
              <w:t>Succeeded | DevA job 09SEa00000jCq7RMAS</w:t>
            </w:r>
          </w:p>
        </w:tc>
      </w:tr>
      <w:tr>
        <w:tc>
          <w:tcPr>
            <w:tcW w:type="dxa" w:w="1900"/>
            <w:tcMar>
              <w:top w:w="85" w:type="dxa"/>
              <w:start w:w="120" w:type="dxa"/>
              <w:bottom w:w="85" w:type="dxa"/>
              <w:end w:w="120" w:type="dxa"/>
            </w:tcMar>
            <w:vAlign w:val="center"/>
            <w:shd w:fill="EAF2FA"/>
          </w:tcPr>
          <w:p>
            <w:pPr>
              <w:spacing w:before="0" w:after="0" w:line="252" w:lineRule="auto"/>
              <w:jc w:val="left"/>
            </w:pPr>
            <w:r/>
            <w:r>
              <w:rPr>
                <w:rFonts w:ascii="Arial" w:hAnsi="Arial"/>
                <w:b/>
                <w:i w:val="0"/>
                <w:color w:val="0B2545"/>
                <w:sz w:val="19"/>
              </w:rPr>
              <w:t>Check only</w:t>
            </w:r>
          </w:p>
        </w:tc>
        <w:tc>
          <w:tcPr>
            <w:tcW w:type="dxa" w:w="7460"/>
            <w:tcMar>
              <w:top w:w="85" w:type="dxa"/>
              <w:start w:w="120" w:type="dxa"/>
              <w:bottom w:w="85" w:type="dxa"/>
              <w:end w:w="120" w:type="dxa"/>
            </w:tcMar>
            <w:vAlign w:val="center"/>
          </w:tcPr>
          <w:p>
            <w:pPr>
              <w:spacing w:before="0" w:after="0" w:line="252" w:lineRule="auto"/>
              <w:jc w:val="left"/>
            </w:pPr>
            <w:r/>
            <w:r>
              <w:rPr>
                <w:rFonts w:ascii="Arial" w:hAnsi="Arial"/>
                <w:b w:val="0"/>
                <w:i w:val="0"/>
                <w:color w:val="1F2937"/>
                <w:sz w:val="18"/>
              </w:rPr>
              <w:t>Succeeded | Job 0AfEa00000bn9GAKAY</w:t>
            </w:r>
          </w:p>
        </w:tc>
      </w:tr>
      <w:tr>
        <w:tc>
          <w:tcPr>
            <w:tcW w:type="dxa" w:w="1900"/>
            <w:tcMar>
              <w:top w:w="85" w:type="dxa"/>
              <w:start w:w="120" w:type="dxa"/>
              <w:bottom w:w="85" w:type="dxa"/>
              <w:end w:w="120" w:type="dxa"/>
            </w:tcMar>
            <w:vAlign w:val="center"/>
            <w:shd w:fill="EAF2FA"/>
          </w:tcPr>
          <w:p>
            <w:pPr>
              <w:spacing w:before="0" w:after="0" w:line="252" w:lineRule="auto"/>
              <w:jc w:val="left"/>
            </w:pPr>
            <w:r/>
            <w:r>
              <w:rPr>
                <w:rFonts w:ascii="Arial" w:hAnsi="Arial"/>
                <w:b/>
                <w:i w:val="0"/>
                <w:color w:val="0B2545"/>
                <w:sz w:val="19"/>
              </w:rPr>
              <w:t>Decision</w:t>
            </w:r>
          </w:p>
        </w:tc>
        <w:tc>
          <w:tcPr>
            <w:tcW w:type="dxa" w:w="7460"/>
            <w:tcMar>
              <w:top w:w="85" w:type="dxa"/>
              <w:start w:w="120" w:type="dxa"/>
              <w:bottom w:w="85" w:type="dxa"/>
              <w:end w:w="120" w:type="dxa"/>
            </w:tcMar>
            <w:vAlign w:val="center"/>
          </w:tcPr>
          <w:p>
            <w:pPr>
              <w:spacing w:before="0" w:after="0" w:line="252" w:lineRule="auto"/>
              <w:jc w:val="left"/>
            </w:pPr>
            <w:r/>
            <w:r>
              <w:rPr>
                <w:rFonts w:ascii="Arial" w:hAnsi="Arial"/>
                <w:b w:val="0"/>
                <w:i w:val="0"/>
                <w:color w:val="1F2937"/>
                <w:sz w:val="18"/>
              </w:rPr>
              <w:t>Approved with Conditions - development complete; QA evidence required</w:t>
            </w:r>
          </w:p>
        </w:tc>
      </w:tr>
      <w:tr>
        <w:tc>
          <w:tcPr>
            <w:tcW w:type="dxa" w:w="1900"/>
            <w:tcMar>
              <w:top w:w="85" w:type="dxa"/>
              <w:start w:w="120" w:type="dxa"/>
              <w:bottom w:w="85" w:type="dxa"/>
              <w:end w:w="120" w:type="dxa"/>
            </w:tcMar>
            <w:vAlign w:val="center"/>
            <w:shd w:fill="EAF2FA"/>
          </w:tcPr>
          <w:p>
            <w:pPr>
              <w:spacing w:before="0" w:after="0" w:line="252" w:lineRule="auto"/>
              <w:jc w:val="left"/>
            </w:pPr>
            <w:r/>
            <w:r>
              <w:rPr>
                <w:rFonts w:ascii="Arial" w:hAnsi="Arial"/>
                <w:b/>
                <w:i w:val="0"/>
                <w:color w:val="0B2545"/>
                <w:sz w:val="19"/>
              </w:rPr>
              <w:t>Boundary</w:t>
            </w:r>
          </w:p>
        </w:tc>
        <w:tc>
          <w:tcPr>
            <w:tcW w:type="dxa" w:w="7460"/>
            <w:tcMar>
              <w:top w:w="85" w:type="dxa"/>
              <w:start w:w="120" w:type="dxa"/>
              <w:bottom w:w="85" w:type="dxa"/>
              <w:end w:w="120" w:type="dxa"/>
            </w:tcMar>
            <w:vAlign w:val="center"/>
          </w:tcPr>
          <w:p>
            <w:pPr>
              <w:spacing w:before="0" w:after="0" w:line="252" w:lineRule="auto"/>
              <w:jc w:val="left"/>
            </w:pPr>
            <w:r/>
            <w:r>
              <w:rPr>
                <w:rFonts w:ascii="Arial" w:hAnsi="Arial"/>
                <w:b w:val="0"/>
                <w:i w:val="0"/>
                <w:color w:val="1F2937"/>
                <w:sz w:val="18"/>
              </w:rPr>
              <w:t>No deployment, activation, persistent record creation, or metadata change</w:t>
            </w:r>
          </w:p>
        </w:tc>
      </w:tr>
    </w:tbl>
    <w:p>
      <w:pPr>
        <w:spacing w:after="20"/>
      </w:pPr>
    </w:p>
    <w:p>
      <w:pPr>
        <w:spacing w:before="80" w:after="200" w:line="264" w:lineRule="auto"/>
      </w:pPr>
      <w:r>
        <w:rPr>
          <w:rFonts w:ascii="Arial" w:hAnsi="Arial"/>
          <w:b/>
          <w:i w:val="0"/>
          <w:color w:val="0B2545"/>
          <w:sz w:val="22"/>
        </w:rPr>
        <w:t xml:space="preserve">Decision  </w:t>
      </w:r>
      <w:r>
        <w:rPr>
          <w:rFonts w:ascii="Arial" w:hAnsi="Arial"/>
          <w:b w:val="0"/>
          <w:i w:val="0"/>
          <w:color w:val="1F2937"/>
          <w:sz w:val="22"/>
        </w:rPr>
        <w:t>The requested Gantt Label behavior is already implemented in DevA and the focused check-only validation succeeds. No additional functional coding is required. Approval remains conditional on completing the story documentation and a named-persona UI save test.</w:t>
      </w:r>
    </w:p>
    <w:p>
      <w:pPr>
        <w:pStyle w:val="Heading1"/>
        <w:keepNext/>
      </w:pPr>
      <w:r>
        <w:t>Acceptance outcome</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0"/>
        <w:gridCol w:w="2200"/>
        <w:gridCol w:w="1350"/>
        <w:gridCol w:w="5310"/>
      </w:tblGrid>
      <w:tr>
        <w:trPr>
          <w:tblHeader w:val="true"/>
        </w:trPr>
        <w:tc>
          <w:tcPr>
            <w:tcW w:type="dxa" w:w="5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w:t>
            </w:r>
          </w:p>
        </w:tc>
        <w:tc>
          <w:tcPr>
            <w:tcW w:type="dxa" w:w="22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Scope</w:t>
            </w:r>
          </w:p>
        </w:tc>
        <w:tc>
          <w:tcPr>
            <w:tcW w:type="dxa" w:w="135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Result</w:t>
            </w:r>
          </w:p>
        </w:tc>
        <w:tc>
          <w:tcPr>
            <w:tcW w:type="dxa" w:w="531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500"/>
            <w:tcMar>
              <w:top w:w="85" w:type="dxa"/>
              <w:start w:w="120" w:type="dxa"/>
              <w:bottom w:w="85" w:type="dxa"/>
              <w:end w:w="120" w:type="dxa"/>
            </w:tcMar>
          </w:tcPr>
          <w:p>
            <w:pPr>
              <w:spacing w:before="0" w:after="0" w:line="252" w:lineRule="auto"/>
              <w:jc w:val="left"/>
            </w:pPr>
            <w:r/>
            <w:r>
              <w:rPr>
                <w:rFonts w:ascii="Arial" w:hAnsi="Arial"/>
                <w:b w:val="0"/>
                <w:i w:val="0"/>
                <w:color w:val="1F2937"/>
                <w:sz w:val="18"/>
              </w:rPr>
              <w:t>1</w:t>
            </w:r>
          </w:p>
        </w:tc>
        <w:tc>
          <w:tcPr>
            <w:tcW w:type="dxa" w:w="2200"/>
            <w:tcMar>
              <w:top w:w="85" w:type="dxa"/>
              <w:start w:w="120" w:type="dxa"/>
              <w:bottom w:w="85" w:type="dxa"/>
              <w:end w:w="120" w:type="dxa"/>
            </w:tcMar>
          </w:tcPr>
          <w:p>
            <w:pPr>
              <w:spacing w:before="0" w:after="0" w:line="252" w:lineRule="auto"/>
              <w:jc w:val="left"/>
            </w:pPr>
            <w:r/>
            <w:r>
              <w:rPr>
                <w:rFonts w:ascii="Arial" w:hAnsi="Arial"/>
                <w:b w:val="0"/>
                <w:i w:val="0"/>
                <w:color w:val="1F2937"/>
                <w:sz w:val="18"/>
              </w:rPr>
              <w:t>Gantt Label on new screen</w:t>
            </w:r>
          </w:p>
        </w:tc>
        <w:tc>
          <w:tcPr>
            <w:tcW w:type="dxa" w:w="135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w:t>
            </w:r>
          </w:p>
        </w:tc>
        <w:tc>
          <w:tcPr>
            <w:tcW w:type="dxa" w:w="5310"/>
            <w:tcMar>
              <w:top w:w="85" w:type="dxa"/>
              <w:start w:w="120" w:type="dxa"/>
              <w:bottom w:w="85" w:type="dxa"/>
              <w:end w:w="120" w:type="dxa"/>
            </w:tcMar>
          </w:tcPr>
          <w:p>
            <w:pPr>
              <w:spacing w:before="0" w:after="0" w:line="252" w:lineRule="auto"/>
              <w:jc w:val="left"/>
            </w:pPr>
            <w:r/>
            <w:r>
              <w:rPr>
                <w:rFonts w:ascii="Arial" w:hAnsi="Arial"/>
                <w:b w:val="0"/>
                <w:i w:val="0"/>
                <w:color w:val="1F2937"/>
                <w:sz w:val="18"/>
              </w:rPr>
              <w:t>RecurringAbsence.page binds an input field to ResourceAbsence.FSL__GanttLabel__c in the Absence Details section.</w:t>
            </w:r>
          </w:p>
        </w:tc>
      </w:tr>
      <w:tr>
        <w:tc>
          <w:tcPr>
            <w:tcW w:type="dxa" w:w="500"/>
            <w:tcMar>
              <w:top w:w="85" w:type="dxa"/>
              <w:start w:w="120" w:type="dxa"/>
              <w:bottom w:w="85" w:type="dxa"/>
              <w:end w:w="120" w:type="dxa"/>
            </w:tcMar>
          </w:tcPr>
          <w:p>
            <w:pPr>
              <w:spacing w:before="0" w:after="0" w:line="252" w:lineRule="auto"/>
              <w:jc w:val="left"/>
            </w:pPr>
            <w:r/>
            <w:r>
              <w:rPr>
                <w:rFonts w:ascii="Arial" w:hAnsi="Arial"/>
                <w:b w:val="0"/>
                <w:i w:val="0"/>
                <w:color w:val="1F2937"/>
                <w:sz w:val="18"/>
              </w:rPr>
              <w:t>2</w:t>
            </w:r>
          </w:p>
        </w:tc>
        <w:tc>
          <w:tcPr>
            <w:tcW w:type="dxa" w:w="2200"/>
            <w:tcMar>
              <w:top w:w="85" w:type="dxa"/>
              <w:start w:w="120" w:type="dxa"/>
              <w:bottom w:w="85" w:type="dxa"/>
              <w:end w:w="120" w:type="dxa"/>
            </w:tcMar>
          </w:tcPr>
          <w:p>
            <w:pPr>
              <w:spacing w:before="0" w:after="0" w:line="252" w:lineRule="auto"/>
              <w:jc w:val="left"/>
            </w:pPr>
            <w:r/>
            <w:r>
              <w:rPr>
                <w:rFonts w:ascii="Arial" w:hAnsi="Arial"/>
                <w:b w:val="0"/>
                <w:i w:val="0"/>
                <w:color w:val="1F2937"/>
                <w:sz w:val="18"/>
              </w:rPr>
              <w:t>Value copied to every recurrence</w:t>
            </w:r>
          </w:p>
        </w:tc>
        <w:tc>
          <w:tcPr>
            <w:tcW w:type="dxa" w:w="135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w:t>
            </w:r>
          </w:p>
        </w:tc>
        <w:tc>
          <w:tcPr>
            <w:tcW w:type="dxa" w:w="531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controller clones the configured ResourceAbsence for each occurrence, so the populated Gantt Label is preserved.</w:t>
            </w:r>
          </w:p>
        </w:tc>
      </w:tr>
      <w:tr>
        <w:tc>
          <w:tcPr>
            <w:tcW w:type="dxa" w:w="500"/>
            <w:tcMar>
              <w:top w:w="85" w:type="dxa"/>
              <w:start w:w="120" w:type="dxa"/>
              <w:bottom w:w="85" w:type="dxa"/>
              <w:end w:w="120" w:type="dxa"/>
            </w:tcMar>
          </w:tcPr>
          <w:p>
            <w:pPr>
              <w:spacing w:before="0" w:after="0" w:line="252" w:lineRule="auto"/>
              <w:jc w:val="left"/>
            </w:pPr>
            <w:r/>
            <w:r>
              <w:rPr>
                <w:rFonts w:ascii="Arial" w:hAnsi="Arial"/>
                <w:b w:val="0"/>
                <w:i w:val="0"/>
                <w:color w:val="1F2937"/>
                <w:sz w:val="18"/>
              </w:rPr>
              <w:t>3</w:t>
            </w:r>
          </w:p>
        </w:tc>
        <w:tc>
          <w:tcPr>
            <w:tcW w:type="dxa" w:w="2200"/>
            <w:tcMar>
              <w:top w:w="85" w:type="dxa"/>
              <w:start w:w="120" w:type="dxa"/>
              <w:bottom w:w="85" w:type="dxa"/>
              <w:end w:w="120" w:type="dxa"/>
            </w:tcMar>
          </w:tcPr>
          <w:p>
            <w:pPr>
              <w:spacing w:before="0" w:after="0" w:line="252" w:lineRule="auto"/>
              <w:jc w:val="left"/>
            </w:pPr>
            <w:r/>
            <w:r>
              <w:rPr>
                <w:rFonts w:ascii="Arial" w:hAnsi="Arial"/>
                <w:b w:val="0"/>
                <w:i w:val="0"/>
                <w:color w:val="1F2937"/>
                <w:sz w:val="18"/>
              </w:rPr>
              <w:t>Automated persistence test</w:t>
            </w:r>
          </w:p>
        </w:tc>
        <w:tc>
          <w:tcPr>
            <w:tcW w:type="dxa" w:w="135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w:t>
            </w:r>
          </w:p>
        </w:tc>
        <w:tc>
          <w:tcPr>
            <w:tcW w:type="dxa" w:w="531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test sets PTO, creates three recurring absences, queries the saved records, and asserts PTO on each one.</w:t>
            </w:r>
          </w:p>
        </w:tc>
      </w:tr>
      <w:tr>
        <w:tc>
          <w:tcPr>
            <w:tcW w:type="dxa" w:w="500"/>
            <w:tcMar>
              <w:top w:w="85" w:type="dxa"/>
              <w:start w:w="120" w:type="dxa"/>
              <w:bottom w:w="85" w:type="dxa"/>
              <w:end w:w="120" w:type="dxa"/>
            </w:tcMar>
          </w:tcPr>
          <w:p>
            <w:pPr>
              <w:spacing w:before="0" w:after="0" w:line="252" w:lineRule="auto"/>
              <w:jc w:val="left"/>
            </w:pPr>
            <w:r/>
            <w:r>
              <w:rPr>
                <w:rFonts w:ascii="Arial" w:hAnsi="Arial"/>
                <w:b w:val="0"/>
                <w:i w:val="0"/>
                <w:color w:val="1F2937"/>
                <w:sz w:val="18"/>
              </w:rPr>
              <w:t>4</w:t>
            </w:r>
          </w:p>
        </w:tc>
        <w:tc>
          <w:tcPr>
            <w:tcW w:type="dxa" w:w="2200"/>
            <w:tcMar>
              <w:top w:w="85" w:type="dxa"/>
              <w:start w:w="120" w:type="dxa"/>
              <w:bottom w:w="85" w:type="dxa"/>
              <w:end w:w="120" w:type="dxa"/>
            </w:tcMar>
          </w:tcPr>
          <w:p>
            <w:pPr>
              <w:spacing w:before="0" w:after="0" w:line="252" w:lineRule="auto"/>
              <w:jc w:val="left"/>
            </w:pPr>
            <w:r/>
            <w:r>
              <w:rPr>
                <w:rFonts w:ascii="Arial" w:hAnsi="Arial"/>
                <w:b w:val="0"/>
                <w:i w:val="0"/>
                <w:color w:val="1F2937"/>
                <w:sz w:val="18"/>
              </w:rPr>
              <w:t>Focused deployment validation</w:t>
            </w:r>
          </w:p>
        </w:tc>
        <w:tc>
          <w:tcPr>
            <w:tcW w:type="dxa" w:w="135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w:t>
            </w:r>
          </w:p>
        </w:tc>
        <w:tc>
          <w:tcPr>
            <w:tcW w:type="dxa" w:w="531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check-only job validates all three components with no component or test failures.</w:t>
            </w:r>
          </w:p>
        </w:tc>
      </w:tr>
      <w:tr>
        <w:tc>
          <w:tcPr>
            <w:tcW w:type="dxa" w:w="500"/>
            <w:tcMar>
              <w:top w:w="85" w:type="dxa"/>
              <w:start w:w="120" w:type="dxa"/>
              <w:bottom w:w="85" w:type="dxa"/>
              <w:end w:w="120" w:type="dxa"/>
            </w:tcMar>
          </w:tcPr>
          <w:p>
            <w:pPr>
              <w:spacing w:before="0" w:after="0" w:line="252" w:lineRule="auto"/>
              <w:jc w:val="left"/>
            </w:pPr>
            <w:r/>
            <w:r>
              <w:rPr>
                <w:rFonts w:ascii="Arial" w:hAnsi="Arial"/>
                <w:b w:val="0"/>
                <w:i w:val="0"/>
                <w:color w:val="1F2937"/>
                <w:sz w:val="18"/>
              </w:rPr>
              <w:t>5</w:t>
            </w:r>
          </w:p>
        </w:tc>
        <w:tc>
          <w:tcPr>
            <w:tcW w:type="dxa" w:w="2200"/>
            <w:tcMar>
              <w:top w:w="85" w:type="dxa"/>
              <w:start w:w="120" w:type="dxa"/>
              <w:bottom w:w="85" w:type="dxa"/>
              <w:end w:w="120" w:type="dxa"/>
            </w:tcMar>
          </w:tcPr>
          <w:p>
            <w:pPr>
              <w:spacing w:before="0" w:after="0" w:line="252" w:lineRule="auto"/>
              <w:jc w:val="left"/>
            </w:pPr>
            <w:r/>
            <w:r>
              <w:rPr>
                <w:rFonts w:ascii="Arial" w:hAnsi="Arial"/>
                <w:b w:val="0"/>
                <w:i w:val="0"/>
                <w:color w:val="1F2937"/>
                <w:sz w:val="18"/>
              </w:rPr>
              <w:t>Controller coverage</w:t>
            </w:r>
          </w:p>
        </w:tc>
        <w:tc>
          <w:tcPr>
            <w:tcW w:type="dxa" w:w="135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w:t>
            </w:r>
          </w:p>
        </w:tc>
        <w:tc>
          <w:tcPr>
            <w:tcW w:type="dxa" w:w="5310"/>
            <w:tcMar>
              <w:top w:w="85" w:type="dxa"/>
              <w:start w:w="120" w:type="dxa"/>
              <w:bottom w:w="85" w:type="dxa"/>
              <w:end w:w="120" w:type="dxa"/>
            </w:tcMar>
          </w:tcPr>
          <w:p>
            <w:pPr>
              <w:spacing w:before="0" w:after="0" w:line="252" w:lineRule="auto"/>
              <w:jc w:val="left"/>
            </w:pPr>
            <w:r/>
            <w:r>
              <w:rPr>
                <w:rFonts w:ascii="Arial" w:hAnsi="Arial"/>
                <w:b w:val="0"/>
                <w:i w:val="0"/>
                <w:color w:val="1F2937"/>
                <w:sz w:val="18"/>
              </w:rPr>
              <w:t>281 of 349 executable lines are covered, producing 80.52 percent coverage.</w:t>
            </w:r>
          </w:p>
        </w:tc>
      </w:tr>
      <w:tr>
        <w:tc>
          <w:tcPr>
            <w:tcW w:type="dxa" w:w="500"/>
            <w:tcMar>
              <w:top w:w="85" w:type="dxa"/>
              <w:start w:w="120" w:type="dxa"/>
              <w:bottom w:w="85" w:type="dxa"/>
              <w:end w:w="120" w:type="dxa"/>
            </w:tcMar>
          </w:tcPr>
          <w:p>
            <w:pPr>
              <w:spacing w:before="0" w:after="0" w:line="252" w:lineRule="auto"/>
              <w:jc w:val="left"/>
            </w:pPr>
            <w:r/>
            <w:r>
              <w:rPr>
                <w:rFonts w:ascii="Arial" w:hAnsi="Arial"/>
                <w:b w:val="0"/>
                <w:i w:val="0"/>
                <w:color w:val="1F2937"/>
                <w:sz w:val="18"/>
              </w:rPr>
              <w:t>6</w:t>
            </w:r>
          </w:p>
        </w:tc>
        <w:tc>
          <w:tcPr>
            <w:tcW w:type="dxa" w:w="2200"/>
            <w:tcMar>
              <w:top w:w="85" w:type="dxa"/>
              <w:start w:w="120" w:type="dxa"/>
              <w:bottom w:w="85" w:type="dxa"/>
              <w:end w:w="120" w:type="dxa"/>
            </w:tcMar>
          </w:tcPr>
          <w:p>
            <w:pPr>
              <w:spacing w:before="0" w:after="0" w:line="252" w:lineRule="auto"/>
              <w:jc w:val="left"/>
            </w:pPr>
            <w:r/>
            <w:r>
              <w:rPr>
                <w:rFonts w:ascii="Arial" w:hAnsi="Arial"/>
                <w:b w:val="0"/>
                <w:i w:val="0"/>
                <w:color w:val="1F2937"/>
                <w:sz w:val="18"/>
              </w:rPr>
              <w:t>Functional source parity</w:t>
            </w:r>
          </w:p>
        </w:tc>
        <w:tc>
          <w:tcPr>
            <w:tcW w:type="dxa" w:w="135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w:t>
            </w:r>
          </w:p>
        </w:tc>
        <w:tc>
          <w:tcPr>
            <w:tcW w:type="dxa" w:w="531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Visualforce page, controller, test class, and page metadata are identical in current DevA and Merge retrievals.</w:t>
            </w:r>
          </w:p>
        </w:tc>
      </w:tr>
      <w:tr>
        <w:tc>
          <w:tcPr>
            <w:tcW w:type="dxa" w:w="500"/>
            <w:tcMar>
              <w:top w:w="85" w:type="dxa"/>
              <w:start w:w="120" w:type="dxa"/>
              <w:bottom w:w="85" w:type="dxa"/>
              <w:end w:w="120" w:type="dxa"/>
            </w:tcMar>
          </w:tcPr>
          <w:p>
            <w:pPr>
              <w:spacing w:before="0" w:after="0" w:line="252" w:lineRule="auto"/>
              <w:jc w:val="left"/>
            </w:pPr>
            <w:r/>
            <w:r>
              <w:rPr>
                <w:rFonts w:ascii="Arial" w:hAnsi="Arial"/>
                <w:b w:val="0"/>
                <w:i w:val="0"/>
                <w:color w:val="1F2937"/>
                <w:sz w:val="18"/>
              </w:rPr>
              <w:t>7</w:t>
            </w:r>
          </w:p>
        </w:tc>
        <w:tc>
          <w:tcPr>
            <w:tcW w:type="dxa" w:w="2200"/>
            <w:tcMar>
              <w:top w:w="85" w:type="dxa"/>
              <w:start w:w="120" w:type="dxa"/>
              <w:bottom w:w="85" w:type="dxa"/>
              <w:end w:w="120" w:type="dxa"/>
            </w:tcMar>
          </w:tcPr>
          <w:p>
            <w:pPr>
              <w:spacing w:before="0" w:after="0" w:line="252" w:lineRule="auto"/>
              <w:jc w:val="left"/>
            </w:pPr>
            <w:r/>
            <w:r>
              <w:rPr>
                <w:rFonts w:ascii="Arial" w:hAnsi="Arial"/>
                <w:b w:val="0"/>
                <w:i w:val="0"/>
                <w:color w:val="1F2937"/>
                <w:sz w:val="18"/>
              </w:rPr>
              <w:t>Story definition and UI evidence</w:t>
            </w:r>
          </w:p>
        </w:tc>
        <w:tc>
          <w:tcPr>
            <w:tcW w:type="dxa" w:w="135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Conditional</w:t>
            </w:r>
          </w:p>
        </w:tc>
        <w:tc>
          <w:tcPr>
            <w:tcW w:type="dxa" w:w="531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story has no description or acceptance criteria, and no record-creating named-persona UI test was performed during this dry run.</w:t>
            </w:r>
          </w:p>
        </w:tc>
      </w:tr>
    </w:tbl>
    <w:p>
      <w:pPr>
        <w:spacing w:after="20"/>
      </w:pPr>
    </w:p>
    <w:p>
      <w:pPr>
        <w:pStyle w:val="Heading1"/>
        <w:keepNext/>
        <w:pageBreakBefore/>
      </w:pPr>
      <w:r>
        <w:t>Development scope</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00"/>
        <w:gridCol w:w="3350"/>
        <w:gridCol w:w="2150"/>
        <w:gridCol w:w="2660"/>
      </w:tblGrid>
      <w:tr>
        <w:trPr>
          <w:tblHeader w:val="true"/>
        </w:trPr>
        <w:tc>
          <w:tcPr>
            <w:tcW w:type="dxa" w:w="12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Type</w:t>
            </w:r>
          </w:p>
        </w:tc>
        <w:tc>
          <w:tcPr>
            <w:tcW w:type="dxa" w:w="335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Component</w:t>
            </w:r>
          </w:p>
        </w:tc>
        <w:tc>
          <w:tcPr>
            <w:tcW w:type="dxa" w:w="215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Physical files</w:t>
            </w:r>
          </w:p>
        </w:tc>
        <w:tc>
          <w:tcPr>
            <w:tcW w:type="dxa" w:w="266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Purpose</w:t>
            </w:r>
          </w:p>
        </w:tc>
      </w:tr>
      <w:tr>
        <w:tc>
          <w:tcPr>
            <w:tcW w:type="dxa" w:w="1200"/>
            <w:tcMar>
              <w:top w:w="85" w:type="dxa"/>
              <w:start w:w="120" w:type="dxa"/>
              <w:bottom w:w="85" w:type="dxa"/>
              <w:end w:w="120" w:type="dxa"/>
            </w:tcMar>
          </w:tcPr>
          <w:p>
            <w:pPr>
              <w:spacing w:before="0" w:after="0" w:line="252" w:lineRule="auto"/>
              <w:jc w:val="left"/>
            </w:pPr>
            <w:r/>
            <w:r>
              <w:rPr>
                <w:rFonts w:ascii="Arial" w:hAnsi="Arial"/>
                <w:b w:val="0"/>
                <w:i w:val="0"/>
                <w:color w:val="1F2937"/>
                <w:sz w:val="18"/>
              </w:rPr>
              <w:t>ApexPage</w:t>
            </w:r>
          </w:p>
        </w:tc>
        <w:tc>
          <w:tcPr>
            <w:tcW w:type="dxa" w:w="3350"/>
            <w:tcMar>
              <w:top w:w="85" w:type="dxa"/>
              <w:start w:w="120" w:type="dxa"/>
              <w:bottom w:w="85" w:type="dxa"/>
              <w:end w:w="120" w:type="dxa"/>
            </w:tcMar>
          </w:tcPr>
          <w:p>
            <w:pPr>
              <w:spacing w:before="0" w:after="0" w:line="252" w:lineRule="auto"/>
              <w:jc w:val="left"/>
            </w:pPr>
            <w:r/>
            <w:r>
              <w:rPr>
                <w:rFonts w:ascii="Arial" w:hAnsi="Arial"/>
                <w:b w:val="0"/>
                <w:i w:val="0"/>
                <w:color w:val="1F2937"/>
                <w:sz w:val="18"/>
              </w:rPr>
              <w:t>RecurringAbsence</w:t>
            </w:r>
          </w:p>
        </w:tc>
        <w:tc>
          <w:tcPr>
            <w:tcW w:type="dxa" w:w="2150"/>
            <w:tcMar>
              <w:top w:w="85" w:type="dxa"/>
              <w:start w:w="120" w:type="dxa"/>
              <w:bottom w:w="85" w:type="dxa"/>
              <w:end w:w="120" w:type="dxa"/>
            </w:tcMar>
          </w:tcPr>
          <w:p>
            <w:pPr>
              <w:spacing w:before="0" w:after="0" w:line="252" w:lineRule="auto"/>
              <w:jc w:val="left"/>
            </w:pPr>
            <w:r/>
            <w:r>
              <w:rPr>
                <w:rFonts w:ascii="Arial" w:hAnsi="Arial"/>
                <w:b w:val="0"/>
                <w:i w:val="0"/>
                <w:color w:val="1F2937"/>
                <w:sz w:val="18"/>
              </w:rPr>
              <w:t>Page plus metadata XML</w:t>
            </w:r>
          </w:p>
        </w:tc>
        <w:tc>
          <w:tcPr>
            <w:tcW w:type="dxa" w:w="2660"/>
            <w:tcMar>
              <w:top w:w="85" w:type="dxa"/>
              <w:start w:w="120" w:type="dxa"/>
              <w:bottom w:w="85" w:type="dxa"/>
              <w:end w:w="120" w:type="dxa"/>
            </w:tcMar>
          </w:tcPr>
          <w:p>
            <w:pPr>
              <w:spacing w:before="0" w:after="0" w:line="252" w:lineRule="auto"/>
              <w:jc w:val="left"/>
            </w:pPr>
            <w:r/>
            <w:r>
              <w:rPr>
                <w:rFonts w:ascii="Arial" w:hAnsi="Arial"/>
                <w:b w:val="0"/>
                <w:i w:val="0"/>
                <w:color w:val="1F2937"/>
                <w:sz w:val="18"/>
              </w:rPr>
              <w:t>Displays the existing managed Gantt Label field on the New Recurring Absence screen.</w:t>
            </w:r>
          </w:p>
        </w:tc>
      </w:tr>
      <w:tr>
        <w:tc>
          <w:tcPr>
            <w:tcW w:type="dxa" w:w="1200"/>
            <w:tcMar>
              <w:top w:w="85" w:type="dxa"/>
              <w:start w:w="120" w:type="dxa"/>
              <w:bottom w:w="85" w:type="dxa"/>
              <w:end w:w="120" w:type="dxa"/>
            </w:tcMar>
          </w:tcPr>
          <w:p>
            <w:pPr>
              <w:spacing w:before="0" w:after="0" w:line="252" w:lineRule="auto"/>
              <w:jc w:val="left"/>
            </w:pPr>
            <w:r/>
            <w:r>
              <w:rPr>
                <w:rFonts w:ascii="Arial" w:hAnsi="Arial"/>
                <w:b w:val="0"/>
                <w:i w:val="0"/>
                <w:color w:val="1F2937"/>
                <w:sz w:val="18"/>
              </w:rPr>
              <w:t>ApexClass</w:t>
            </w:r>
          </w:p>
        </w:tc>
        <w:tc>
          <w:tcPr>
            <w:tcW w:type="dxa" w:w="3350"/>
            <w:tcMar>
              <w:top w:w="85" w:type="dxa"/>
              <w:start w:w="120" w:type="dxa"/>
              <w:bottom w:w="85" w:type="dxa"/>
              <w:end w:w="120" w:type="dxa"/>
            </w:tcMar>
          </w:tcPr>
          <w:p>
            <w:pPr>
              <w:spacing w:before="0" w:after="0" w:line="252" w:lineRule="auto"/>
              <w:jc w:val="left"/>
            </w:pPr>
            <w:r/>
            <w:r>
              <w:rPr>
                <w:rFonts w:ascii="Arial" w:hAnsi="Arial"/>
                <w:b w:val="0"/>
                <w:i w:val="0"/>
                <w:color w:val="1F2937"/>
                <w:sz w:val="18"/>
              </w:rPr>
              <w:t>RecurringAbsenceController</w:t>
            </w:r>
          </w:p>
        </w:tc>
        <w:tc>
          <w:tcPr>
            <w:tcW w:type="dxa" w:w="2150"/>
            <w:tcMar>
              <w:top w:w="85" w:type="dxa"/>
              <w:start w:w="120" w:type="dxa"/>
              <w:bottom w:w="85" w:type="dxa"/>
              <w:end w:w="120" w:type="dxa"/>
            </w:tcMar>
          </w:tcPr>
          <w:p>
            <w:pPr>
              <w:spacing w:before="0" w:after="0" w:line="252" w:lineRule="auto"/>
              <w:jc w:val="left"/>
            </w:pPr>
            <w:r/>
            <w:r>
              <w:rPr>
                <w:rFonts w:ascii="Arial" w:hAnsi="Arial"/>
                <w:b w:val="0"/>
                <w:i w:val="0"/>
                <w:color w:val="1F2937"/>
                <w:sz w:val="18"/>
              </w:rPr>
              <w:t>Controller plus metadata XML</w:t>
            </w:r>
          </w:p>
        </w:tc>
        <w:tc>
          <w:tcPr>
            <w:tcW w:type="dxa" w:w="2660"/>
            <w:tcMar>
              <w:top w:w="85" w:type="dxa"/>
              <w:start w:w="120" w:type="dxa"/>
              <w:bottom w:w="85" w:type="dxa"/>
              <w:end w:w="120" w:type="dxa"/>
            </w:tcMar>
          </w:tcPr>
          <w:p>
            <w:pPr>
              <w:spacing w:before="0" w:after="0" w:line="252" w:lineRule="auto"/>
              <w:jc w:val="left"/>
            </w:pPr>
            <w:r/>
            <w:r>
              <w:rPr>
                <w:rFonts w:ascii="Arial" w:hAnsi="Arial"/>
                <w:b w:val="0"/>
                <w:i w:val="0"/>
                <w:color w:val="1F2937"/>
                <w:sz w:val="18"/>
              </w:rPr>
              <w:t>Generates recurring records by cloning the populated ResourceAbsence; no separate field assignment is required.</w:t>
            </w:r>
          </w:p>
        </w:tc>
      </w:tr>
      <w:tr>
        <w:tc>
          <w:tcPr>
            <w:tcW w:type="dxa" w:w="1200"/>
            <w:tcMar>
              <w:top w:w="85" w:type="dxa"/>
              <w:start w:w="120" w:type="dxa"/>
              <w:bottom w:w="85" w:type="dxa"/>
              <w:end w:w="120" w:type="dxa"/>
            </w:tcMar>
          </w:tcPr>
          <w:p>
            <w:pPr>
              <w:spacing w:before="0" w:after="0" w:line="252" w:lineRule="auto"/>
              <w:jc w:val="left"/>
            </w:pPr>
            <w:r/>
            <w:r>
              <w:rPr>
                <w:rFonts w:ascii="Arial" w:hAnsi="Arial"/>
                <w:b w:val="0"/>
                <w:i w:val="0"/>
                <w:color w:val="1F2937"/>
                <w:sz w:val="18"/>
              </w:rPr>
              <w:t>ApexClass</w:t>
            </w:r>
          </w:p>
        </w:tc>
        <w:tc>
          <w:tcPr>
            <w:tcW w:type="dxa" w:w="3350"/>
            <w:tcMar>
              <w:top w:w="85" w:type="dxa"/>
              <w:start w:w="120" w:type="dxa"/>
              <w:bottom w:w="85" w:type="dxa"/>
              <w:end w:w="120" w:type="dxa"/>
            </w:tcMar>
          </w:tcPr>
          <w:p>
            <w:pPr>
              <w:spacing w:before="0" w:after="0" w:line="252" w:lineRule="auto"/>
              <w:jc w:val="left"/>
            </w:pPr>
            <w:r/>
            <w:r>
              <w:rPr>
                <w:rFonts w:ascii="Arial" w:hAnsi="Arial"/>
                <w:b w:val="0"/>
                <w:i w:val="0"/>
                <w:color w:val="1F2937"/>
                <w:sz w:val="18"/>
              </w:rPr>
              <w:t>RecurringAbsenceControllerTest</w:t>
            </w:r>
          </w:p>
        </w:tc>
        <w:tc>
          <w:tcPr>
            <w:tcW w:type="dxa" w:w="2150"/>
            <w:tcMar>
              <w:top w:w="85" w:type="dxa"/>
              <w:start w:w="120" w:type="dxa"/>
              <w:bottom w:w="85" w:type="dxa"/>
              <w:end w:w="120" w:type="dxa"/>
            </w:tcMar>
          </w:tcPr>
          <w:p>
            <w:pPr>
              <w:spacing w:before="0" w:after="0" w:line="252" w:lineRule="auto"/>
              <w:jc w:val="left"/>
            </w:pPr>
            <w:r/>
            <w:r>
              <w:rPr>
                <w:rFonts w:ascii="Arial" w:hAnsi="Arial"/>
                <w:b w:val="0"/>
                <w:i w:val="0"/>
                <w:color w:val="1F2937"/>
                <w:sz w:val="18"/>
              </w:rPr>
              <w:t>Test class plus metadata XML</w:t>
            </w:r>
          </w:p>
        </w:tc>
        <w:tc>
          <w:tcPr>
            <w:tcW w:type="dxa" w:w="2660"/>
            <w:tcMar>
              <w:top w:w="85" w:type="dxa"/>
              <w:start w:w="120" w:type="dxa"/>
              <w:bottom w:w="85" w:type="dxa"/>
              <w:end w:w="120" w:type="dxa"/>
            </w:tcMar>
          </w:tcPr>
          <w:p>
            <w:pPr>
              <w:spacing w:before="0" w:after="0" w:line="252" w:lineRule="auto"/>
              <w:jc w:val="left"/>
            </w:pPr>
            <w:r/>
            <w:r>
              <w:rPr>
                <w:rFonts w:ascii="Arial" w:hAnsi="Arial"/>
                <w:b w:val="0"/>
                <w:i w:val="0"/>
                <w:color w:val="1F2937"/>
                <w:sz w:val="18"/>
              </w:rPr>
              <w:t>Proves Gantt Label persistence across all generated records and covers recurrence behavior.</w:t>
            </w:r>
          </w:p>
        </w:tc>
      </w:tr>
    </w:tbl>
    <w:p>
      <w:pPr>
        <w:spacing w:after="20"/>
      </w:pPr>
    </w:p>
    <w:p>
      <w:pPr>
        <w:pStyle w:val="Heading2"/>
        <w:keepNext/>
      </w:pPr>
      <w:r>
        <w:t>Items not required for this story</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00"/>
        <w:gridCol w:w="1800"/>
        <w:gridCol w:w="5260"/>
      </w:tblGrid>
      <w:tr>
        <w:trPr>
          <w:tblHeader w:val="true"/>
        </w:trPr>
        <w:tc>
          <w:tcPr>
            <w:tcW w:type="dxa" w:w="23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Potential item</w:t>
            </w:r>
          </w:p>
        </w:tc>
        <w:tc>
          <w:tcPr>
            <w:tcW w:type="dxa" w:w="18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Scope reading</w:t>
            </w:r>
          </w:p>
        </w:tc>
        <w:tc>
          <w:tcPr>
            <w:tcW w:type="dxa" w:w="526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2300"/>
            <w:tcMar>
              <w:top w:w="85" w:type="dxa"/>
              <w:start w:w="120" w:type="dxa"/>
              <w:bottom w:w="85" w:type="dxa"/>
              <w:end w:w="120" w:type="dxa"/>
            </w:tcMar>
          </w:tcPr>
          <w:p>
            <w:pPr>
              <w:spacing w:before="0" w:after="0" w:line="252" w:lineRule="auto"/>
              <w:jc w:val="left"/>
            </w:pPr>
            <w:r/>
            <w:r>
              <w:rPr>
                <w:rFonts w:ascii="Arial" w:hAnsi="Arial"/>
                <w:b w:val="0"/>
                <w:i w:val="0"/>
                <w:color w:val="1F2937"/>
                <w:sz w:val="18"/>
              </w:rPr>
              <w:t>New custom field</w:t>
            </w:r>
          </w:p>
        </w:tc>
        <w:tc>
          <w:tcPr>
            <w:tcW w:type="dxa" w:w="180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Not required</w:t>
            </w:r>
          </w:p>
        </w:tc>
        <w:tc>
          <w:tcPr>
            <w:tcW w:type="dxa" w:w="5260"/>
            <w:tcMar>
              <w:top w:w="85" w:type="dxa"/>
              <w:start w:w="120" w:type="dxa"/>
              <w:bottom w:w="85" w:type="dxa"/>
              <w:end w:w="120" w:type="dxa"/>
            </w:tcMar>
          </w:tcPr>
          <w:p>
            <w:pPr>
              <w:spacing w:before="0" w:after="0" w:line="252" w:lineRule="auto"/>
              <w:jc w:val="left"/>
            </w:pPr>
            <w:r/>
            <w:r>
              <w:rPr>
                <w:rFonts w:ascii="Arial" w:hAnsi="Arial"/>
                <w:b w:val="0"/>
                <w:i w:val="0"/>
                <w:color w:val="1F2937"/>
                <w:sz w:val="18"/>
              </w:rPr>
              <w:t>FSL__GanttLabel__c already exists as the managed Gantt Label Text 255 field.</w:t>
            </w:r>
          </w:p>
        </w:tc>
      </w:tr>
      <w:tr>
        <w:tc>
          <w:tcPr>
            <w:tcW w:type="dxa" w:w="2300"/>
            <w:tcMar>
              <w:top w:w="85" w:type="dxa"/>
              <w:start w:w="120" w:type="dxa"/>
              <w:bottom w:w="85" w:type="dxa"/>
              <w:end w:w="120" w:type="dxa"/>
            </w:tcMar>
          </w:tcPr>
          <w:p>
            <w:pPr>
              <w:spacing w:before="0" w:after="0" w:line="252" w:lineRule="auto"/>
              <w:jc w:val="left"/>
            </w:pPr>
            <w:r/>
            <w:r>
              <w:rPr>
                <w:rFonts w:ascii="Arial" w:hAnsi="Arial"/>
                <w:b w:val="0"/>
                <w:i w:val="0"/>
                <w:color w:val="1F2937"/>
                <w:sz w:val="18"/>
              </w:rPr>
              <w:t>Page layout</w:t>
            </w:r>
          </w:p>
        </w:tc>
        <w:tc>
          <w:tcPr>
            <w:tcW w:type="dxa" w:w="180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Not required</w:t>
            </w:r>
          </w:p>
        </w:tc>
        <w:tc>
          <w:tcPr>
            <w:tcW w:type="dxa" w:w="526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feature is implemented on the custom Visualforce page named RecurringAbsence.</w:t>
            </w:r>
          </w:p>
        </w:tc>
      </w:tr>
      <w:tr>
        <w:tc>
          <w:tcPr>
            <w:tcW w:type="dxa" w:w="2300"/>
            <w:tcMar>
              <w:top w:w="85" w:type="dxa"/>
              <w:start w:w="120" w:type="dxa"/>
              <w:bottom w:w="85" w:type="dxa"/>
              <w:end w:w="120" w:type="dxa"/>
            </w:tcMar>
          </w:tcPr>
          <w:p>
            <w:pPr>
              <w:spacing w:before="0" w:after="0" w:line="252" w:lineRule="auto"/>
              <w:jc w:val="left"/>
            </w:pPr>
            <w:r/>
            <w:r>
              <w:rPr>
                <w:rFonts w:ascii="Arial" w:hAnsi="Arial"/>
                <w:b w:val="0"/>
                <w:i w:val="0"/>
                <w:color w:val="1F2937"/>
                <w:sz w:val="18"/>
              </w:rPr>
              <w:t>Permission set change</w:t>
            </w:r>
          </w:p>
        </w:tc>
        <w:tc>
          <w:tcPr>
            <w:tcW w:type="dxa" w:w="180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Not indicated</w:t>
            </w:r>
          </w:p>
        </w:tc>
        <w:tc>
          <w:tcPr>
            <w:tcW w:type="dxa" w:w="5260"/>
            <w:tcMar>
              <w:top w:w="85" w:type="dxa"/>
              <w:start w:w="120" w:type="dxa"/>
              <w:bottom w:w="85" w:type="dxa"/>
              <w:end w:w="120" w:type="dxa"/>
            </w:tcMar>
          </w:tcPr>
          <w:p>
            <w:pPr>
              <w:spacing w:before="0" w:after="0" w:line="252" w:lineRule="auto"/>
              <w:jc w:val="left"/>
            </w:pPr>
            <w:r/>
            <w:r>
              <w:rPr>
                <w:rFonts w:ascii="Arial" w:hAnsi="Arial"/>
                <w:b w:val="0"/>
                <w:i w:val="0"/>
                <w:color w:val="1F2937"/>
                <w:sz w:val="18"/>
              </w:rPr>
              <w:t>CRC and principal Field Service permission sets grant read and edit access in DevA and Merge.</w:t>
            </w:r>
          </w:p>
        </w:tc>
      </w:tr>
      <w:tr>
        <w:tc>
          <w:tcPr>
            <w:tcW w:type="dxa" w:w="2300"/>
            <w:tcMar>
              <w:top w:w="85" w:type="dxa"/>
              <w:start w:w="120" w:type="dxa"/>
              <w:bottom w:w="85" w:type="dxa"/>
              <w:end w:w="120" w:type="dxa"/>
            </w:tcMar>
          </w:tcPr>
          <w:p>
            <w:pPr>
              <w:spacing w:before="0" w:after="0" w:line="252" w:lineRule="auto"/>
              <w:jc w:val="left"/>
            </w:pPr>
            <w:r/>
            <w:r>
              <w:rPr>
                <w:rFonts w:ascii="Arial" w:hAnsi="Arial"/>
                <w:b w:val="0"/>
                <w:i w:val="0"/>
                <w:color w:val="1F2937"/>
                <w:sz w:val="18"/>
              </w:rPr>
              <w:t>Controller field mapping</w:t>
            </w:r>
          </w:p>
        </w:tc>
        <w:tc>
          <w:tcPr>
            <w:tcW w:type="dxa" w:w="180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Not required</w:t>
            </w:r>
          </w:p>
        </w:tc>
        <w:tc>
          <w:tcPr>
            <w:tcW w:type="dxa" w:w="526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existing clone operation carries the field value into each new ResourceAbsence.</w:t>
            </w:r>
          </w:p>
        </w:tc>
      </w:tr>
    </w:tbl>
    <w:p>
      <w:pPr>
        <w:spacing w:after="20"/>
      </w:pPr>
    </w:p>
    <w:p>
      <w:pPr>
        <w:pStyle w:val="Heading2"/>
        <w:keepNext/>
      </w:pPr>
      <w:r>
        <w:t>Environment comparison</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00"/>
        <w:gridCol w:w="1600"/>
        <w:gridCol w:w="5160"/>
      </w:tblGrid>
      <w:tr>
        <w:trPr>
          <w:tblHeader w:val="true"/>
        </w:trPr>
        <w:tc>
          <w:tcPr>
            <w:tcW w:type="dxa" w:w="26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Item</w:t>
            </w:r>
          </w:p>
        </w:tc>
        <w:tc>
          <w:tcPr>
            <w:tcW w:type="dxa" w:w="16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Result</w:t>
            </w:r>
          </w:p>
        </w:tc>
        <w:tc>
          <w:tcPr>
            <w:tcW w:type="dxa" w:w="516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Peer review reading</w:t>
            </w:r>
          </w:p>
        </w:tc>
      </w:tr>
      <w:tr>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Visualforce page source</w:t>
            </w:r>
          </w:p>
        </w:tc>
        <w:tc>
          <w:tcPr>
            <w:tcW w:type="dxa" w:w="160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Identical</w:t>
            </w:r>
          </w:p>
        </w:tc>
        <w:tc>
          <w:tcPr>
            <w:tcW w:type="dxa" w:w="516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Gantt Label input is present in both current DevA and Merge.</w:t>
            </w:r>
          </w:p>
        </w:tc>
      </w:tr>
      <w:tr>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Controller source</w:t>
            </w:r>
          </w:p>
        </w:tc>
        <w:tc>
          <w:tcPr>
            <w:tcW w:type="dxa" w:w="160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Identical</w:t>
            </w:r>
          </w:p>
        </w:tc>
        <w:tc>
          <w:tcPr>
            <w:tcW w:type="dxa" w:w="5160"/>
            <w:tcMar>
              <w:top w:w="85" w:type="dxa"/>
              <w:start w:w="120" w:type="dxa"/>
              <w:bottom w:w="85" w:type="dxa"/>
              <w:end w:w="120" w:type="dxa"/>
            </w:tcMar>
          </w:tcPr>
          <w:p>
            <w:pPr>
              <w:spacing w:before="0" w:after="0" w:line="252" w:lineRule="auto"/>
              <w:jc w:val="left"/>
            </w:pPr>
            <w:r/>
            <w:r>
              <w:rPr>
                <w:rFonts w:ascii="Arial" w:hAnsi="Arial"/>
                <w:b w:val="0"/>
                <w:i w:val="0"/>
                <w:color w:val="1F2937"/>
                <w:sz w:val="18"/>
              </w:rPr>
              <w:t>No functional source delta was found.</w:t>
            </w:r>
          </w:p>
        </w:tc>
      </w:tr>
      <w:tr>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Test source</w:t>
            </w:r>
          </w:p>
        </w:tc>
        <w:tc>
          <w:tcPr>
            <w:tcW w:type="dxa" w:w="160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Identical</w:t>
            </w:r>
          </w:p>
        </w:tc>
        <w:tc>
          <w:tcPr>
            <w:tcW w:type="dxa" w:w="516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Gantt Label persistence assertion exists in both environments.</w:t>
            </w:r>
          </w:p>
        </w:tc>
      </w:tr>
      <w:tr>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Page metadata</w:t>
            </w:r>
          </w:p>
        </w:tc>
        <w:tc>
          <w:tcPr>
            <w:tcW w:type="dxa" w:w="160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Identical</w:t>
            </w:r>
          </w:p>
        </w:tc>
        <w:tc>
          <w:tcPr>
            <w:tcW w:type="dxa" w:w="5160"/>
            <w:tcMar>
              <w:top w:w="85" w:type="dxa"/>
              <w:start w:w="120" w:type="dxa"/>
              <w:bottom w:w="85" w:type="dxa"/>
              <w:end w:w="120" w:type="dxa"/>
            </w:tcMar>
          </w:tcPr>
          <w:p>
            <w:pPr>
              <w:spacing w:before="0" w:after="0" w:line="252" w:lineRule="auto"/>
              <w:jc w:val="left"/>
            </w:pPr>
            <w:r/>
            <w:r>
              <w:rPr>
                <w:rFonts w:ascii="Arial" w:hAnsi="Arial"/>
                <w:b w:val="0"/>
                <w:i w:val="0"/>
                <w:color w:val="1F2937"/>
                <w:sz w:val="18"/>
              </w:rPr>
              <w:t>Both use API version 60 and FSL package version 262.0.</w:t>
            </w:r>
          </w:p>
        </w:tc>
      </w:tr>
      <w:tr>
        <w:tc>
          <w:tcPr>
            <w:tcW w:type="dxa" w:w="2600"/>
            <w:tcMar>
              <w:top w:w="85" w:type="dxa"/>
              <w:start w:w="120" w:type="dxa"/>
              <w:bottom w:w="85" w:type="dxa"/>
              <w:end w:w="120" w:type="dxa"/>
            </w:tcMar>
          </w:tcPr>
          <w:p>
            <w:pPr>
              <w:spacing w:before="0" w:after="0" w:line="252" w:lineRule="auto"/>
              <w:jc w:val="left"/>
            </w:pPr>
            <w:r/>
            <w:r>
              <w:rPr>
                <w:rFonts w:ascii="Arial" w:hAnsi="Arial"/>
                <w:b w:val="0"/>
                <w:i w:val="0"/>
                <w:color w:val="1F2937"/>
                <w:sz w:val="18"/>
              </w:rPr>
              <w:t>Apex metadata</w:t>
            </w:r>
          </w:p>
        </w:tc>
        <w:tc>
          <w:tcPr>
            <w:tcW w:type="dxa" w:w="160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Different</w:t>
            </w:r>
          </w:p>
        </w:tc>
        <w:tc>
          <w:tcPr>
            <w:tcW w:type="dxa" w:w="5160"/>
            <w:tcMar>
              <w:top w:w="85" w:type="dxa"/>
              <w:start w:w="120" w:type="dxa"/>
              <w:bottom w:w="85" w:type="dxa"/>
              <w:end w:w="120" w:type="dxa"/>
            </w:tcMar>
          </w:tcPr>
          <w:p>
            <w:pPr>
              <w:spacing w:before="0" w:after="0" w:line="252" w:lineRule="auto"/>
              <w:jc w:val="left"/>
            </w:pPr>
            <w:r/>
            <w:r>
              <w:rPr>
                <w:rFonts w:ascii="Arial" w:hAnsi="Arial"/>
                <w:b w:val="0"/>
                <w:i w:val="0"/>
                <w:color w:val="1F2937"/>
                <w:sz w:val="18"/>
              </w:rPr>
              <w:t>DevA controller and test metadata use API versions 64 and 67; Merge uses 60 for both. Do not treat these version-only differences as SCC-4095 scope without an explicit decision.</w:t>
            </w:r>
          </w:p>
        </w:tc>
      </w:tr>
    </w:tbl>
    <w:p>
      <w:pPr>
        <w:spacing w:after="20"/>
      </w:pPr>
    </w:p>
    <w:p>
      <w:pPr>
        <w:pStyle w:val="Heading1"/>
        <w:keepNext/>
        <w:pageBreakBefore/>
      </w:pPr>
      <w:r>
        <w:t>Validation evidence</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00"/>
        <w:gridCol w:w="1450"/>
        <w:gridCol w:w="5410"/>
      </w:tblGrid>
      <w:tr>
        <w:trPr>
          <w:tblHeader w:val="true"/>
        </w:trPr>
        <w:tc>
          <w:tcPr>
            <w:tcW w:type="dxa" w:w="25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Evidence</w:t>
            </w:r>
          </w:p>
        </w:tc>
        <w:tc>
          <w:tcPr>
            <w:tcW w:type="dxa" w:w="145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Result</w:t>
            </w:r>
          </w:p>
        </w:tc>
        <w:tc>
          <w:tcPr>
            <w:tcW w:type="dxa" w:w="541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Observed outcome</w:t>
            </w:r>
          </w:p>
        </w:tc>
      </w:tr>
      <w:tr>
        <w:tc>
          <w:tcPr>
            <w:tcW w:type="dxa" w:w="2500"/>
            <w:tcMar>
              <w:top w:w="85" w:type="dxa"/>
              <w:start w:w="120" w:type="dxa"/>
              <w:bottom w:w="85" w:type="dxa"/>
              <w:end w:w="120" w:type="dxa"/>
            </w:tcMar>
          </w:tcPr>
          <w:p>
            <w:pPr>
              <w:spacing w:before="0" w:after="0" w:line="252" w:lineRule="auto"/>
              <w:jc w:val="left"/>
            </w:pPr>
            <w:r/>
            <w:r>
              <w:rPr>
                <w:rFonts w:ascii="Arial" w:hAnsi="Arial"/>
                <w:b w:val="0"/>
                <w:i w:val="0"/>
                <w:color w:val="1F2937"/>
                <w:sz w:val="18"/>
              </w:rPr>
              <w:t>Target identity</w:t>
            </w:r>
          </w:p>
        </w:tc>
        <w:tc>
          <w:tcPr>
            <w:tcW w:type="dxa" w:w="145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w:t>
            </w:r>
          </w:p>
        </w:tc>
        <w:tc>
          <w:tcPr>
            <w:tcW w:type="dxa" w:w="5410"/>
            <w:tcMar>
              <w:top w:w="85" w:type="dxa"/>
              <w:start w:w="120" w:type="dxa"/>
              <w:bottom w:w="85" w:type="dxa"/>
              <w:end w:w="120" w:type="dxa"/>
            </w:tcMar>
          </w:tcPr>
          <w:p>
            <w:pPr>
              <w:spacing w:before="0" w:after="0" w:line="252" w:lineRule="auto"/>
              <w:jc w:val="left"/>
            </w:pPr>
            <w:r/>
            <w:r>
              <w:rPr>
                <w:rFonts w:ascii="Arial" w:hAnsi="Arial"/>
                <w:b w:val="0"/>
                <w:i w:val="0"/>
                <w:color w:val="1F2937"/>
                <w:sz w:val="18"/>
              </w:rPr>
              <w:t>Great Plains Communications sandbox 00DEa00000Fc086MAB on USA20S.</w:t>
            </w:r>
          </w:p>
        </w:tc>
      </w:tr>
      <w:tr>
        <w:tc>
          <w:tcPr>
            <w:tcW w:type="dxa" w:w="2500"/>
            <w:tcMar>
              <w:top w:w="85" w:type="dxa"/>
              <w:start w:w="120" w:type="dxa"/>
              <w:bottom w:w="85" w:type="dxa"/>
              <w:end w:w="120" w:type="dxa"/>
            </w:tcMar>
          </w:tcPr>
          <w:p>
            <w:pPr>
              <w:spacing w:before="0" w:after="0" w:line="252" w:lineRule="auto"/>
              <w:jc w:val="left"/>
            </w:pPr>
            <w:r/>
            <w:r>
              <w:rPr>
                <w:rFonts w:ascii="Arial" w:hAnsi="Arial"/>
                <w:b w:val="0"/>
                <w:i w:val="0"/>
                <w:color w:val="1F2937"/>
                <w:sz w:val="18"/>
              </w:rPr>
              <w:t>Check-only status</w:t>
            </w:r>
          </w:p>
        </w:tc>
        <w:tc>
          <w:tcPr>
            <w:tcW w:type="dxa" w:w="145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w:t>
            </w:r>
          </w:p>
        </w:tc>
        <w:tc>
          <w:tcPr>
            <w:tcW w:type="dxa" w:w="5410"/>
            <w:tcMar>
              <w:top w:w="85" w:type="dxa"/>
              <w:start w:w="120" w:type="dxa"/>
              <w:bottom w:w="85" w:type="dxa"/>
              <w:end w:w="120" w:type="dxa"/>
            </w:tcMar>
          </w:tcPr>
          <w:p>
            <w:pPr>
              <w:spacing w:before="0" w:after="0" w:line="252" w:lineRule="auto"/>
              <w:jc w:val="left"/>
            </w:pPr>
            <w:r/>
            <w:r>
              <w:rPr>
                <w:rFonts w:ascii="Arial" w:hAnsi="Arial"/>
                <w:b w:val="0"/>
                <w:i w:val="0"/>
                <w:color w:val="1F2937"/>
                <w:sz w:val="18"/>
              </w:rPr>
              <w:t>Succeeded with checkOnly true; job 0AfEa00000bn9GAKAY.</w:t>
            </w:r>
          </w:p>
        </w:tc>
      </w:tr>
      <w:tr>
        <w:tc>
          <w:tcPr>
            <w:tcW w:type="dxa" w:w="2500"/>
            <w:tcMar>
              <w:top w:w="85" w:type="dxa"/>
              <w:start w:w="120" w:type="dxa"/>
              <w:bottom w:w="85" w:type="dxa"/>
              <w:end w:w="120" w:type="dxa"/>
            </w:tcMar>
          </w:tcPr>
          <w:p>
            <w:pPr>
              <w:spacing w:before="0" w:after="0" w:line="252" w:lineRule="auto"/>
              <w:jc w:val="left"/>
            </w:pPr>
            <w:r/>
            <w:r>
              <w:rPr>
                <w:rFonts w:ascii="Arial" w:hAnsi="Arial"/>
                <w:b w:val="0"/>
                <w:i w:val="0"/>
                <w:color w:val="1F2937"/>
                <w:sz w:val="18"/>
              </w:rPr>
              <w:t>Components</w:t>
            </w:r>
          </w:p>
        </w:tc>
        <w:tc>
          <w:tcPr>
            <w:tcW w:type="dxa" w:w="145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w:t>
            </w:r>
          </w:p>
        </w:tc>
        <w:tc>
          <w:tcPr>
            <w:tcW w:type="dxa" w:w="5410"/>
            <w:tcMar>
              <w:top w:w="85" w:type="dxa"/>
              <w:start w:w="120" w:type="dxa"/>
              <w:bottom w:w="85" w:type="dxa"/>
              <w:end w:w="120" w:type="dxa"/>
            </w:tcMar>
          </w:tcPr>
          <w:p>
            <w:pPr>
              <w:spacing w:before="0" w:after="0" w:line="252" w:lineRule="auto"/>
              <w:jc w:val="left"/>
            </w:pPr>
            <w:r/>
            <w:r>
              <w:rPr>
                <w:rFonts w:ascii="Arial" w:hAnsi="Arial"/>
                <w:b w:val="0"/>
                <w:i w:val="0"/>
                <w:color w:val="1F2937"/>
                <w:sz w:val="18"/>
              </w:rPr>
              <w:t>3 of 3 succeeded with 0 component errors; all were reported unchanged in DevA.</w:t>
            </w:r>
          </w:p>
        </w:tc>
      </w:tr>
      <w:tr>
        <w:tc>
          <w:tcPr>
            <w:tcW w:type="dxa" w:w="2500"/>
            <w:tcMar>
              <w:top w:w="85" w:type="dxa"/>
              <w:start w:w="120" w:type="dxa"/>
              <w:bottom w:w="85" w:type="dxa"/>
              <w:end w:w="120" w:type="dxa"/>
            </w:tcMar>
          </w:tcPr>
          <w:p>
            <w:pPr>
              <w:spacing w:before="0" w:after="0" w:line="252" w:lineRule="auto"/>
              <w:jc w:val="left"/>
            </w:pPr>
            <w:r/>
            <w:r>
              <w:rPr>
                <w:rFonts w:ascii="Arial" w:hAnsi="Arial"/>
                <w:b w:val="0"/>
                <w:i w:val="0"/>
                <w:color w:val="1F2937"/>
                <w:sz w:val="18"/>
              </w:rPr>
              <w:t>Specified tests</w:t>
            </w:r>
          </w:p>
        </w:tc>
        <w:tc>
          <w:tcPr>
            <w:tcW w:type="dxa" w:w="145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w:t>
            </w:r>
          </w:p>
        </w:tc>
        <w:tc>
          <w:tcPr>
            <w:tcW w:type="dxa" w:w="5410"/>
            <w:tcMar>
              <w:top w:w="85" w:type="dxa"/>
              <w:start w:w="120" w:type="dxa"/>
              <w:bottom w:w="85" w:type="dxa"/>
              <w:end w:w="120" w:type="dxa"/>
            </w:tcMar>
          </w:tcPr>
          <w:p>
            <w:pPr>
              <w:spacing w:before="0" w:after="0" w:line="252" w:lineRule="auto"/>
              <w:jc w:val="left"/>
            </w:pPr>
            <w:r/>
            <w:r>
              <w:rPr>
                <w:rFonts w:ascii="Arial" w:hAnsi="Arial"/>
                <w:b w:val="0"/>
                <w:i w:val="0"/>
                <w:color w:val="1F2937"/>
                <w:sz w:val="18"/>
              </w:rPr>
              <w:t>11 tests ran with 0 failures.</w:t>
            </w:r>
          </w:p>
        </w:tc>
      </w:tr>
      <w:tr>
        <w:tc>
          <w:tcPr>
            <w:tcW w:type="dxa" w:w="2500"/>
            <w:tcMar>
              <w:top w:w="85" w:type="dxa"/>
              <w:start w:w="120" w:type="dxa"/>
              <w:bottom w:w="85" w:type="dxa"/>
              <w:end w:w="120" w:type="dxa"/>
            </w:tcMar>
          </w:tcPr>
          <w:p>
            <w:pPr>
              <w:spacing w:before="0" w:after="0" w:line="252" w:lineRule="auto"/>
              <w:jc w:val="left"/>
            </w:pPr>
            <w:r/>
            <w:r>
              <w:rPr>
                <w:rFonts w:ascii="Arial" w:hAnsi="Arial"/>
                <w:b w:val="0"/>
                <w:i w:val="0"/>
                <w:color w:val="1F2937"/>
                <w:sz w:val="18"/>
              </w:rPr>
              <w:t>Controller coverage</w:t>
            </w:r>
          </w:p>
        </w:tc>
        <w:tc>
          <w:tcPr>
            <w:tcW w:type="dxa" w:w="145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w:t>
            </w:r>
          </w:p>
        </w:tc>
        <w:tc>
          <w:tcPr>
            <w:tcW w:type="dxa" w:w="5410"/>
            <w:tcMar>
              <w:top w:w="85" w:type="dxa"/>
              <w:start w:w="120" w:type="dxa"/>
              <w:bottom w:w="85" w:type="dxa"/>
              <w:end w:w="120" w:type="dxa"/>
            </w:tcMar>
          </w:tcPr>
          <w:p>
            <w:pPr>
              <w:spacing w:before="0" w:after="0" w:line="252" w:lineRule="auto"/>
              <w:jc w:val="left"/>
            </w:pPr>
            <w:r/>
            <w:r>
              <w:rPr>
                <w:rFonts w:ascii="Arial" w:hAnsi="Arial"/>
                <w:b w:val="0"/>
                <w:i w:val="0"/>
                <w:color w:val="1F2937"/>
                <w:sz w:val="18"/>
              </w:rPr>
              <w:t>281 covered and 68 uncovered executable lines; 80.52 percent.</w:t>
            </w:r>
          </w:p>
        </w:tc>
      </w:tr>
      <w:tr>
        <w:tc>
          <w:tcPr>
            <w:tcW w:type="dxa" w:w="2500"/>
            <w:tcMar>
              <w:top w:w="85" w:type="dxa"/>
              <w:start w:w="120" w:type="dxa"/>
              <w:bottom w:w="85" w:type="dxa"/>
              <w:end w:w="120" w:type="dxa"/>
            </w:tcMar>
          </w:tcPr>
          <w:p>
            <w:pPr>
              <w:spacing w:before="0" w:after="0" w:line="252" w:lineRule="auto"/>
              <w:jc w:val="left"/>
            </w:pPr>
            <w:r/>
            <w:r>
              <w:rPr>
                <w:rFonts w:ascii="Arial" w:hAnsi="Arial"/>
                <w:b w:val="0"/>
                <w:i w:val="0"/>
                <w:color w:val="1F2937"/>
                <w:sz w:val="18"/>
              </w:rPr>
              <w:t>Field metadata</w:t>
            </w:r>
          </w:p>
        </w:tc>
        <w:tc>
          <w:tcPr>
            <w:tcW w:type="dxa" w:w="145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w:t>
            </w:r>
          </w:p>
        </w:tc>
        <w:tc>
          <w:tcPr>
            <w:tcW w:type="dxa" w:w="5410"/>
            <w:tcMar>
              <w:top w:w="85" w:type="dxa"/>
              <w:start w:w="120" w:type="dxa"/>
              <w:bottom w:w="85" w:type="dxa"/>
              <w:end w:w="120" w:type="dxa"/>
            </w:tcMar>
          </w:tcPr>
          <w:p>
            <w:pPr>
              <w:spacing w:before="0" w:after="0" w:line="252" w:lineRule="auto"/>
              <w:jc w:val="left"/>
            </w:pPr>
            <w:r/>
            <w:r>
              <w:rPr>
                <w:rFonts w:ascii="Arial" w:hAnsi="Arial"/>
                <w:b w:val="0"/>
                <w:i w:val="0"/>
                <w:color w:val="1F2937"/>
                <w:sz w:val="18"/>
              </w:rPr>
              <w:t>FSL__GanttLabel__c is present as Gantt Label, Text 255.</w:t>
            </w:r>
          </w:p>
        </w:tc>
      </w:tr>
      <w:tr>
        <w:tc>
          <w:tcPr>
            <w:tcW w:type="dxa" w:w="2500"/>
            <w:tcMar>
              <w:top w:w="85" w:type="dxa"/>
              <w:start w:w="120" w:type="dxa"/>
              <w:bottom w:w="85" w:type="dxa"/>
              <w:end w:w="120" w:type="dxa"/>
            </w:tcMar>
          </w:tcPr>
          <w:p>
            <w:pPr>
              <w:spacing w:before="0" w:after="0" w:line="252" w:lineRule="auto"/>
              <w:jc w:val="left"/>
            </w:pPr>
            <w:r/>
            <w:r>
              <w:rPr>
                <w:rFonts w:ascii="Arial" w:hAnsi="Arial"/>
                <w:b w:val="0"/>
                <w:i w:val="0"/>
                <w:color w:val="1F2937"/>
                <w:sz w:val="18"/>
              </w:rPr>
              <w:t>Field access</w:t>
            </w:r>
          </w:p>
        </w:tc>
        <w:tc>
          <w:tcPr>
            <w:tcW w:type="dxa" w:w="1450"/>
            <w:shd w:fill="E7F5F1"/>
            <w:tcMar>
              <w:top w:w="85" w:type="dxa"/>
              <w:start w:w="120" w:type="dxa"/>
              <w:bottom w:w="85" w:type="dxa"/>
              <w:end w:w="120" w:type="dxa"/>
            </w:tcMar>
          </w:tcPr>
          <w:p>
            <w:pPr>
              <w:spacing w:before="0" w:after="0" w:line="252" w:lineRule="auto"/>
              <w:jc w:val="center"/>
            </w:pPr>
            <w:r/>
            <w:r>
              <w:rPr>
                <w:rFonts w:ascii="Arial" w:hAnsi="Arial"/>
                <w:b/>
                <w:i w:val="0"/>
                <w:color w:val="16836B"/>
                <w:sz w:val="19"/>
              </w:rPr>
              <w:t>Pass</w:t>
            </w:r>
          </w:p>
        </w:tc>
        <w:tc>
          <w:tcPr>
            <w:tcW w:type="dxa" w:w="5410"/>
            <w:tcMar>
              <w:top w:w="85" w:type="dxa"/>
              <w:start w:w="120" w:type="dxa"/>
              <w:bottom w:w="85" w:type="dxa"/>
              <w:end w:w="120" w:type="dxa"/>
            </w:tcMar>
          </w:tcPr>
          <w:p>
            <w:pPr>
              <w:spacing w:before="0" w:after="0" w:line="252" w:lineRule="auto"/>
              <w:jc w:val="left"/>
            </w:pPr>
            <w:r/>
            <w:r>
              <w:rPr>
                <w:rFonts w:ascii="Arial" w:hAnsi="Arial"/>
                <w:b w:val="0"/>
                <w:i w:val="0"/>
                <w:color w:val="1F2937"/>
                <w:sz w:val="18"/>
              </w:rPr>
              <w:t>CRC Access Permission Set Group and the principal Field Service permission sets grant read and edit access.</w:t>
            </w:r>
          </w:p>
        </w:tc>
      </w:tr>
    </w:tbl>
    <w:p>
      <w:pPr>
        <w:spacing w:after="20"/>
      </w:pPr>
    </w:p>
    <w:p>
      <w:pPr>
        <w:pStyle w:val="Heading2"/>
        <w:keepNext/>
      </w:pPr>
      <w:r>
        <w:t>Review boundaries</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00"/>
        <w:gridCol w:w="1700"/>
        <w:gridCol w:w="5360"/>
      </w:tblGrid>
      <w:tr>
        <w:trPr>
          <w:tblHeader w:val="true"/>
        </w:trPr>
        <w:tc>
          <w:tcPr>
            <w:tcW w:type="dxa" w:w="23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Boundary</w:t>
            </w:r>
          </w:p>
        </w:tc>
        <w:tc>
          <w:tcPr>
            <w:tcW w:type="dxa" w:w="17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Status</w:t>
            </w:r>
          </w:p>
        </w:tc>
        <w:tc>
          <w:tcPr>
            <w:tcW w:type="dxa" w:w="536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2300"/>
            <w:tcMar>
              <w:top w:w="85" w:type="dxa"/>
              <w:start w:w="120" w:type="dxa"/>
              <w:bottom w:w="85" w:type="dxa"/>
              <w:end w:w="120" w:type="dxa"/>
            </w:tcMar>
          </w:tcPr>
          <w:p>
            <w:pPr>
              <w:spacing w:before="0" w:after="0" w:line="252" w:lineRule="auto"/>
              <w:jc w:val="left"/>
            </w:pPr>
            <w:r/>
            <w:r>
              <w:rPr>
                <w:rFonts w:ascii="Arial" w:hAnsi="Arial"/>
                <w:b w:val="0"/>
                <w:i w:val="0"/>
                <w:color w:val="1F2937"/>
                <w:sz w:val="18"/>
              </w:rPr>
              <w:t>UI save test</w:t>
            </w:r>
          </w:p>
        </w:tc>
        <w:tc>
          <w:tcPr>
            <w:tcW w:type="dxa" w:w="170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Not performed</w:t>
            </w:r>
          </w:p>
        </w:tc>
        <w:tc>
          <w:tcPr>
            <w:tcW w:type="dxa" w:w="5360"/>
            <w:tcMar>
              <w:top w:w="85" w:type="dxa"/>
              <w:start w:w="120" w:type="dxa"/>
              <w:bottom w:w="85" w:type="dxa"/>
              <w:end w:w="120" w:type="dxa"/>
            </w:tcMar>
          </w:tcPr>
          <w:p>
            <w:pPr>
              <w:spacing w:before="0" w:after="0" w:line="252" w:lineRule="auto"/>
              <w:jc w:val="left"/>
            </w:pPr>
            <w:r/>
            <w:r>
              <w:rPr>
                <w:rFonts w:ascii="Arial" w:hAnsi="Arial"/>
                <w:b w:val="0"/>
                <w:i w:val="0"/>
                <w:color w:val="1F2937"/>
                <w:sz w:val="18"/>
              </w:rPr>
              <w:t>Saving the screen would create Resource Absence records. The dry run used code, metadata, security, and test evidence only.</w:t>
            </w:r>
          </w:p>
        </w:tc>
      </w:tr>
      <w:tr>
        <w:tc>
          <w:tcPr>
            <w:tcW w:type="dxa" w:w="2300"/>
            <w:tcMar>
              <w:top w:w="85" w:type="dxa"/>
              <w:start w:w="120" w:type="dxa"/>
              <w:bottom w:w="85" w:type="dxa"/>
              <w:end w:w="120" w:type="dxa"/>
            </w:tcMar>
          </w:tcPr>
          <w:p>
            <w:pPr>
              <w:spacing w:before="0" w:after="0" w:line="252" w:lineRule="auto"/>
              <w:jc w:val="left"/>
            </w:pPr>
            <w:r/>
            <w:r>
              <w:rPr>
                <w:rFonts w:ascii="Arial" w:hAnsi="Arial"/>
                <w:b w:val="0"/>
                <w:i w:val="0"/>
                <w:color w:val="1F2937"/>
                <w:sz w:val="18"/>
              </w:rPr>
              <w:t>Named QA persona</w:t>
            </w:r>
          </w:p>
        </w:tc>
        <w:tc>
          <w:tcPr>
            <w:tcW w:type="dxa" w:w="170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Not verified</w:t>
            </w:r>
          </w:p>
        </w:tc>
        <w:tc>
          <w:tcPr>
            <w:tcW w:type="dxa" w:w="536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story does not define a required profile or permission-set assignment for the final UI test.</w:t>
            </w:r>
          </w:p>
        </w:tc>
      </w:tr>
      <w:tr>
        <w:tc>
          <w:tcPr>
            <w:tcW w:type="dxa" w:w="2300"/>
            <w:tcMar>
              <w:top w:w="85" w:type="dxa"/>
              <w:start w:w="120" w:type="dxa"/>
              <w:bottom w:w="85" w:type="dxa"/>
              <w:end w:w="120" w:type="dxa"/>
            </w:tcMar>
          </w:tcPr>
          <w:p>
            <w:pPr>
              <w:spacing w:before="0" w:after="0" w:line="252" w:lineRule="auto"/>
              <w:jc w:val="left"/>
            </w:pPr>
            <w:r/>
            <w:r>
              <w:rPr>
                <w:rFonts w:ascii="Arial" w:hAnsi="Arial"/>
                <w:b w:val="0"/>
                <w:i w:val="0"/>
                <w:color w:val="1F2937"/>
                <w:sz w:val="18"/>
              </w:rPr>
              <w:t>Merge deployment</w:t>
            </w:r>
          </w:p>
        </w:tc>
        <w:tc>
          <w:tcPr>
            <w:tcW w:type="dxa" w:w="170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Not performed</w:t>
            </w:r>
          </w:p>
        </w:tc>
        <w:tc>
          <w:tcPr>
            <w:tcW w:type="dxa" w:w="5360"/>
            <w:tcMar>
              <w:top w:w="85" w:type="dxa"/>
              <w:start w:w="120" w:type="dxa"/>
              <w:bottom w:w="85" w:type="dxa"/>
              <w:end w:w="120" w:type="dxa"/>
            </w:tcMar>
          </w:tcPr>
          <w:p>
            <w:pPr>
              <w:spacing w:before="0" w:after="0" w:line="252" w:lineRule="auto"/>
              <w:jc w:val="left"/>
            </w:pPr>
            <w:r/>
            <w:r>
              <w:rPr>
                <w:rFonts w:ascii="Arial" w:hAnsi="Arial"/>
                <w:b w:val="0"/>
                <w:i w:val="0"/>
                <w:color w:val="1F2937"/>
                <w:sz w:val="18"/>
              </w:rPr>
              <w:t>Merge was inspected read-only for source and field-access parity; no package was deployed or check-only transmitted to Merge.</w:t>
            </w:r>
          </w:p>
        </w:tc>
      </w:tr>
      <w:tr>
        <w:tc>
          <w:tcPr>
            <w:tcW w:type="dxa" w:w="2300"/>
            <w:tcMar>
              <w:top w:w="85" w:type="dxa"/>
              <w:start w:w="120" w:type="dxa"/>
              <w:bottom w:w="85" w:type="dxa"/>
              <w:end w:w="120" w:type="dxa"/>
            </w:tcMar>
          </w:tcPr>
          <w:p>
            <w:pPr>
              <w:spacing w:before="0" w:after="0" w:line="252" w:lineRule="auto"/>
              <w:jc w:val="left"/>
            </w:pPr>
            <w:r/>
            <w:r>
              <w:rPr>
                <w:rFonts w:ascii="Arial" w:hAnsi="Arial"/>
                <w:b w:val="0"/>
                <w:i w:val="0"/>
                <w:color w:val="1F2937"/>
                <w:sz w:val="18"/>
              </w:rPr>
              <w:t>Story completeness</w:t>
            </w:r>
          </w:p>
        </w:tc>
        <w:tc>
          <w:tcPr>
            <w:tcW w:type="dxa" w:w="170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Open</w:t>
            </w:r>
          </w:p>
        </w:tc>
        <w:tc>
          <w:tcPr>
            <w:tcW w:type="dxa" w:w="5360"/>
            <w:tcMar>
              <w:top w:w="85" w:type="dxa"/>
              <w:start w:w="120" w:type="dxa"/>
              <w:bottom w:w="85" w:type="dxa"/>
              <w:end w:w="120" w:type="dxa"/>
            </w:tcMar>
          </w:tcPr>
          <w:p>
            <w:pPr>
              <w:spacing w:before="0" w:after="0" w:line="252" w:lineRule="auto"/>
              <w:jc w:val="left"/>
            </w:pPr>
            <w:r/>
            <w:r>
              <w:rPr>
                <w:rFonts w:ascii="Arial" w:hAnsi="Arial"/>
                <w:b w:val="0"/>
                <w:i w:val="0"/>
                <w:color w:val="1F2937"/>
                <w:sz w:val="18"/>
              </w:rPr>
              <w:t>Description, business value, acceptance criteria, pre-deployment, and post-deployment instructions are absent or recorded as None.</w:t>
            </w:r>
          </w:p>
        </w:tc>
      </w:tr>
      <w:tr>
        <w:tc>
          <w:tcPr>
            <w:tcW w:type="dxa" w:w="2300"/>
            <w:tcMar>
              <w:top w:w="85" w:type="dxa"/>
              <w:start w:w="120" w:type="dxa"/>
              <w:bottom w:w="85" w:type="dxa"/>
              <w:end w:w="120" w:type="dxa"/>
            </w:tcMar>
          </w:tcPr>
          <w:p>
            <w:pPr>
              <w:spacing w:before="0" w:after="0" w:line="252" w:lineRule="auto"/>
              <w:jc w:val="left"/>
            </w:pPr>
            <w:r/>
            <w:r>
              <w:rPr>
                <w:rFonts w:ascii="Arial" w:hAnsi="Arial"/>
                <w:b w:val="0"/>
                <w:i w:val="0"/>
                <w:color w:val="1F2937"/>
                <w:sz w:val="18"/>
              </w:rPr>
              <w:t>Instruction boundary</w:t>
            </w:r>
          </w:p>
        </w:tc>
        <w:tc>
          <w:tcPr>
            <w:tcW w:type="dxa" w:w="1700"/>
            <w:shd w:fill="FFF6DE"/>
            <w:tcMar>
              <w:top w:w="85" w:type="dxa"/>
              <w:start w:w="120" w:type="dxa"/>
              <w:bottom w:w="85" w:type="dxa"/>
              <w:end w:w="120" w:type="dxa"/>
            </w:tcMar>
          </w:tcPr>
          <w:p>
            <w:pPr>
              <w:spacing w:before="0" w:after="0" w:line="252" w:lineRule="auto"/>
              <w:jc w:val="center"/>
            </w:pPr>
            <w:r/>
            <w:r>
              <w:rPr>
                <w:rFonts w:ascii="Arial" w:hAnsi="Arial"/>
                <w:b/>
                <w:i w:val="0"/>
                <w:color w:val="B7791F"/>
                <w:sz w:val="19"/>
              </w:rPr>
              <w:t>Preserved</w:t>
            </w:r>
          </w:p>
        </w:tc>
        <w:tc>
          <w:tcPr>
            <w:tcW w:type="dxa" w:w="5360"/>
            <w:tcMar>
              <w:top w:w="85" w:type="dxa"/>
              <w:start w:w="120" w:type="dxa"/>
              <w:bottom w:w="85" w:type="dxa"/>
              <w:end w:w="120" w:type="dxa"/>
            </w:tcMar>
          </w:tcPr>
          <w:p>
            <w:pPr>
              <w:spacing w:before="0" w:after="0" w:line="252" w:lineRule="auto"/>
              <w:jc w:val="left"/>
            </w:pPr>
            <w:r/>
            <w:r>
              <w:rPr>
                <w:rFonts w:ascii="Arial" w:hAnsi="Arial"/>
                <w:b w:val="0"/>
                <w:i w:val="0"/>
                <w:color w:val="1F2937"/>
                <w:sz w:val="18"/>
              </w:rPr>
              <w:t>The document's request to coordinate with named colleagues was treated as ticket context and was not actioned.</w:t>
            </w:r>
          </w:p>
        </w:tc>
      </w:tr>
    </w:tbl>
    <w:p>
      <w:pPr>
        <w:spacing w:after="20"/>
      </w:pPr>
    </w:p>
    <w:p>
      <w:pPr>
        <w:spacing w:before="80" w:after="200" w:line="264" w:lineRule="auto"/>
      </w:pPr>
      <w:r>
        <w:rPr>
          <w:rFonts w:ascii="Arial" w:hAnsi="Arial"/>
          <w:b/>
          <w:i w:val="0"/>
          <w:color w:val="0B2545"/>
          <w:sz w:val="22"/>
        </w:rPr>
        <w:t xml:space="preserve">Peer review reading  </w:t>
      </w:r>
      <w:r>
        <w:rPr>
          <w:rFonts w:ascii="Arial" w:hAnsi="Arial"/>
          <w:b w:val="0"/>
          <w:i w:val="0"/>
          <w:color w:val="1F2937"/>
          <w:sz w:val="22"/>
        </w:rPr>
        <w:t>Technical validation supports moving the existing implementation to controlled QA confirmation. It does not support claiming complete business acceptance until the missing criteria and record-creating UI evidence are supplied.</w:t>
      </w:r>
    </w:p>
    <w:p>
      <w:pPr>
        <w:pStyle w:val="Heading1"/>
        <w:keepNext/>
        <w:pageBreakBefore/>
      </w:pPr>
      <w:r>
        <w:t>Required completion gates</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50"/>
        <w:gridCol w:w="2650"/>
        <w:gridCol w:w="2000"/>
        <w:gridCol w:w="4160"/>
      </w:tblGrid>
      <w:tr>
        <w:trPr>
          <w:tblHeader w:val="true"/>
        </w:trPr>
        <w:tc>
          <w:tcPr>
            <w:tcW w:type="dxa" w:w="55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w:t>
            </w:r>
          </w:p>
        </w:tc>
        <w:tc>
          <w:tcPr>
            <w:tcW w:type="dxa" w:w="265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Required action</w:t>
            </w:r>
          </w:p>
        </w:tc>
        <w:tc>
          <w:tcPr>
            <w:tcW w:type="dxa" w:w="200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Owner</w:t>
            </w:r>
          </w:p>
        </w:tc>
        <w:tc>
          <w:tcPr>
            <w:tcW w:type="dxa" w:w="4160"/>
            <w:tcMar>
              <w:top w:w="85" w:type="dxa"/>
              <w:start w:w="120" w:type="dxa"/>
              <w:bottom w:w="85" w:type="dxa"/>
              <w:end w:w="120" w:type="dxa"/>
            </w:tcMar>
            <w:vAlign w:val="center"/>
            <w:shd w:fill="F2F4F7"/>
          </w:tcPr>
          <w:p>
            <w:pPr>
              <w:spacing w:before="0" w:after="0" w:line="252" w:lineRule="auto"/>
              <w:jc w:val="left"/>
            </w:pPr>
            <w:r/>
            <w:r>
              <w:rPr>
                <w:rFonts w:ascii="Arial" w:hAnsi="Arial"/>
                <w:b/>
                <w:i w:val="0"/>
                <w:color w:val="0B2545"/>
                <w:sz w:val="19"/>
              </w:rPr>
              <w:t>Evidence needed</w:t>
            </w:r>
          </w:p>
        </w:tc>
      </w:tr>
      <w:tr>
        <w:tc>
          <w:tcPr>
            <w:tcW w:type="dxa" w:w="550"/>
            <w:tcMar>
              <w:top w:w="85" w:type="dxa"/>
              <w:start w:w="120" w:type="dxa"/>
              <w:bottom w:w="85" w:type="dxa"/>
              <w:end w:w="120" w:type="dxa"/>
            </w:tcMar>
          </w:tcPr>
          <w:p>
            <w:pPr>
              <w:spacing w:before="0" w:after="0" w:line="252" w:lineRule="auto"/>
              <w:jc w:val="left"/>
            </w:pPr>
            <w:r/>
            <w:r>
              <w:rPr>
                <w:rFonts w:ascii="Arial" w:hAnsi="Arial"/>
                <w:b w:val="0"/>
                <w:i w:val="0"/>
                <w:color w:val="1F2937"/>
                <w:sz w:val="18"/>
              </w:rPr>
              <w:t>1</w:t>
            </w:r>
          </w:p>
        </w:tc>
        <w:tc>
          <w:tcPr>
            <w:tcW w:type="dxa" w:w="2650"/>
            <w:tcMar>
              <w:top w:w="85" w:type="dxa"/>
              <w:start w:w="120" w:type="dxa"/>
              <w:bottom w:w="85" w:type="dxa"/>
              <w:end w:w="120" w:type="dxa"/>
            </w:tcMar>
          </w:tcPr>
          <w:p>
            <w:pPr>
              <w:spacing w:before="0" w:after="0" w:line="252" w:lineRule="auto"/>
              <w:jc w:val="left"/>
            </w:pPr>
            <w:r/>
            <w:r>
              <w:rPr>
                <w:rFonts w:ascii="Arial" w:hAnsi="Arial"/>
                <w:b w:val="0"/>
                <w:i w:val="0"/>
                <w:color w:val="1F2937"/>
                <w:sz w:val="18"/>
              </w:rPr>
              <w:t>Write acceptance criteria</w:t>
            </w:r>
          </w:p>
        </w:tc>
        <w:tc>
          <w:tcPr>
            <w:tcW w:type="dxa" w:w="2000"/>
            <w:tcMar>
              <w:top w:w="85" w:type="dxa"/>
              <w:start w:w="120" w:type="dxa"/>
              <w:bottom w:w="85" w:type="dxa"/>
              <w:end w:w="120" w:type="dxa"/>
            </w:tcMar>
          </w:tcPr>
          <w:p>
            <w:pPr>
              <w:spacing w:before="0" w:after="0" w:line="252" w:lineRule="auto"/>
              <w:jc w:val="left"/>
            </w:pPr>
            <w:r/>
            <w:r>
              <w:rPr>
                <w:rFonts w:ascii="Arial" w:hAnsi="Arial"/>
                <w:b w:val="0"/>
                <w:i w:val="0"/>
                <w:color w:val="1F2937"/>
                <w:sz w:val="18"/>
              </w:rPr>
              <w:t>Product Owner</w:t>
            </w:r>
          </w:p>
        </w:tc>
        <w:tc>
          <w:tcPr>
            <w:tcW w:type="dxa" w:w="4160"/>
            <w:tcMar>
              <w:top w:w="85" w:type="dxa"/>
              <w:start w:w="120" w:type="dxa"/>
              <w:bottom w:w="85" w:type="dxa"/>
              <w:end w:w="120" w:type="dxa"/>
            </w:tcMar>
          </w:tcPr>
          <w:p>
            <w:pPr>
              <w:spacing w:before="0" w:after="0" w:line="252" w:lineRule="auto"/>
              <w:jc w:val="left"/>
            </w:pPr>
            <w:r/>
            <w:r>
              <w:rPr>
                <w:rFonts w:ascii="Arial" w:hAnsi="Arial"/>
                <w:b w:val="0"/>
                <w:i w:val="0"/>
                <w:color w:val="1F2937"/>
                <w:sz w:val="18"/>
              </w:rPr>
              <w:t>Define field visibility, allowed personas, required value persistence, recurrence types, and expected success behavior.</w:t>
            </w:r>
          </w:p>
        </w:tc>
      </w:tr>
      <w:tr>
        <w:tc>
          <w:tcPr>
            <w:tcW w:type="dxa" w:w="550"/>
            <w:tcMar>
              <w:top w:w="85" w:type="dxa"/>
              <w:start w:w="120" w:type="dxa"/>
              <w:bottom w:w="85" w:type="dxa"/>
              <w:end w:w="120" w:type="dxa"/>
            </w:tcMar>
          </w:tcPr>
          <w:p>
            <w:pPr>
              <w:spacing w:before="0" w:after="0" w:line="252" w:lineRule="auto"/>
              <w:jc w:val="left"/>
            </w:pPr>
            <w:r/>
            <w:r>
              <w:rPr>
                <w:rFonts w:ascii="Arial" w:hAnsi="Arial"/>
                <w:b w:val="0"/>
                <w:i w:val="0"/>
                <w:color w:val="1F2937"/>
                <w:sz w:val="18"/>
              </w:rPr>
              <w:t>2</w:t>
            </w:r>
          </w:p>
        </w:tc>
        <w:tc>
          <w:tcPr>
            <w:tcW w:type="dxa" w:w="2650"/>
            <w:tcMar>
              <w:top w:w="85" w:type="dxa"/>
              <w:start w:w="120" w:type="dxa"/>
              <w:bottom w:w="85" w:type="dxa"/>
              <w:end w:w="120" w:type="dxa"/>
            </w:tcMar>
          </w:tcPr>
          <w:p>
            <w:pPr>
              <w:spacing w:before="0" w:after="0" w:line="252" w:lineRule="auto"/>
              <w:jc w:val="left"/>
            </w:pPr>
            <w:r/>
            <w:r>
              <w:rPr>
                <w:rFonts w:ascii="Arial" w:hAnsi="Arial"/>
                <w:b w:val="0"/>
                <w:i w:val="0"/>
                <w:color w:val="1F2937"/>
                <w:sz w:val="18"/>
              </w:rPr>
              <w:t>Confirm branch provenance</w:t>
            </w:r>
          </w:p>
        </w:tc>
        <w:tc>
          <w:tcPr>
            <w:tcW w:type="dxa" w:w="2000"/>
            <w:tcMar>
              <w:top w:w="85" w:type="dxa"/>
              <w:start w:w="120" w:type="dxa"/>
              <w:bottom w:w="85" w:type="dxa"/>
              <w:end w:w="120" w:type="dxa"/>
            </w:tcMar>
          </w:tcPr>
          <w:p>
            <w:pPr>
              <w:spacing w:before="0" w:after="0" w:line="252" w:lineRule="auto"/>
              <w:jc w:val="left"/>
            </w:pPr>
            <w:r/>
            <w:r>
              <w:rPr>
                <w:rFonts w:ascii="Arial" w:hAnsi="Arial"/>
                <w:b w:val="0"/>
                <w:i w:val="0"/>
                <w:color w:val="1F2937"/>
                <w:sz w:val="18"/>
              </w:rPr>
              <w:t>Developer</w:t>
            </w:r>
          </w:p>
        </w:tc>
        <w:tc>
          <w:tcPr>
            <w:tcW w:type="dxa" w:w="4160"/>
            <w:tcMar>
              <w:top w:w="85" w:type="dxa"/>
              <w:start w:w="120" w:type="dxa"/>
              <w:bottom w:w="85" w:type="dxa"/>
              <w:end w:w="120" w:type="dxa"/>
            </w:tcMar>
          </w:tcPr>
          <w:p>
            <w:pPr>
              <w:spacing w:before="0" w:after="0" w:line="252" w:lineRule="auto"/>
              <w:jc w:val="left"/>
            </w:pPr>
            <w:r/>
            <w:r>
              <w:rPr>
                <w:rFonts w:ascii="Arial" w:hAnsi="Arial"/>
                <w:b w:val="0"/>
                <w:i w:val="0"/>
                <w:color w:val="1F2937"/>
                <w:sz w:val="18"/>
              </w:rPr>
              <w:t>Verify the three component sources in the SCC-4095 branch match the reviewed DevA implementation.</w:t>
            </w:r>
          </w:p>
        </w:tc>
      </w:tr>
      <w:tr>
        <w:tc>
          <w:tcPr>
            <w:tcW w:type="dxa" w:w="550"/>
            <w:tcMar>
              <w:top w:w="85" w:type="dxa"/>
              <w:start w:w="120" w:type="dxa"/>
              <w:bottom w:w="85" w:type="dxa"/>
              <w:end w:w="120" w:type="dxa"/>
            </w:tcMar>
          </w:tcPr>
          <w:p>
            <w:pPr>
              <w:spacing w:before="0" w:after="0" w:line="252" w:lineRule="auto"/>
              <w:jc w:val="left"/>
            </w:pPr>
            <w:r/>
            <w:r>
              <w:rPr>
                <w:rFonts w:ascii="Arial" w:hAnsi="Arial"/>
                <w:b w:val="0"/>
                <w:i w:val="0"/>
                <w:color w:val="1F2937"/>
                <w:sz w:val="18"/>
              </w:rPr>
              <w:t>3</w:t>
            </w:r>
          </w:p>
        </w:tc>
        <w:tc>
          <w:tcPr>
            <w:tcW w:type="dxa" w:w="2650"/>
            <w:tcMar>
              <w:top w:w="85" w:type="dxa"/>
              <w:start w:w="120" w:type="dxa"/>
              <w:bottom w:w="85" w:type="dxa"/>
              <w:end w:w="120" w:type="dxa"/>
            </w:tcMar>
          </w:tcPr>
          <w:p>
            <w:pPr>
              <w:spacing w:before="0" w:after="0" w:line="252" w:lineRule="auto"/>
              <w:jc w:val="left"/>
            </w:pPr>
            <w:r/>
            <w:r>
              <w:rPr>
                <w:rFonts w:ascii="Arial" w:hAnsi="Arial"/>
                <w:b w:val="0"/>
                <w:i w:val="0"/>
                <w:color w:val="1F2937"/>
                <w:sz w:val="18"/>
              </w:rPr>
              <w:t>Decide API versions</w:t>
            </w:r>
          </w:p>
        </w:tc>
        <w:tc>
          <w:tcPr>
            <w:tcW w:type="dxa" w:w="2000"/>
            <w:tcMar>
              <w:top w:w="85" w:type="dxa"/>
              <w:start w:w="120" w:type="dxa"/>
              <w:bottom w:w="85" w:type="dxa"/>
              <w:end w:w="120" w:type="dxa"/>
            </w:tcMar>
          </w:tcPr>
          <w:p>
            <w:pPr>
              <w:spacing w:before="0" w:after="0" w:line="252" w:lineRule="auto"/>
              <w:jc w:val="left"/>
            </w:pPr>
            <w:r/>
            <w:r>
              <w:rPr>
                <w:rFonts w:ascii="Arial" w:hAnsi="Arial"/>
                <w:b w:val="0"/>
                <w:i w:val="0"/>
                <w:color w:val="1F2937"/>
                <w:sz w:val="18"/>
              </w:rPr>
              <w:t>Technical Lead</w:t>
            </w:r>
          </w:p>
        </w:tc>
        <w:tc>
          <w:tcPr>
            <w:tcW w:type="dxa" w:w="4160"/>
            <w:tcMar>
              <w:top w:w="85" w:type="dxa"/>
              <w:start w:w="120" w:type="dxa"/>
              <w:bottom w:w="85" w:type="dxa"/>
              <w:end w:w="120" w:type="dxa"/>
            </w:tcMar>
          </w:tcPr>
          <w:p>
            <w:pPr>
              <w:spacing w:before="0" w:after="0" w:line="252" w:lineRule="auto"/>
              <w:jc w:val="left"/>
            </w:pPr>
            <w:r/>
            <w:r>
              <w:rPr>
                <w:rFonts w:ascii="Arial" w:hAnsi="Arial"/>
                <w:b w:val="0"/>
                <w:i w:val="0"/>
                <w:color w:val="1F2937"/>
                <w:sz w:val="18"/>
              </w:rPr>
              <w:t>Exclude the controller and test metadata version differences unless the release intentionally upgrades them.</w:t>
            </w:r>
          </w:p>
        </w:tc>
      </w:tr>
      <w:tr>
        <w:tc>
          <w:tcPr>
            <w:tcW w:type="dxa" w:w="550"/>
            <w:tcMar>
              <w:top w:w="85" w:type="dxa"/>
              <w:start w:w="120" w:type="dxa"/>
              <w:bottom w:w="85" w:type="dxa"/>
              <w:end w:w="120" w:type="dxa"/>
            </w:tcMar>
          </w:tcPr>
          <w:p>
            <w:pPr>
              <w:spacing w:before="0" w:after="0" w:line="252" w:lineRule="auto"/>
              <w:jc w:val="left"/>
            </w:pPr>
            <w:r/>
            <w:r>
              <w:rPr>
                <w:rFonts w:ascii="Arial" w:hAnsi="Arial"/>
                <w:b w:val="0"/>
                <w:i w:val="0"/>
                <w:color w:val="1F2937"/>
                <w:sz w:val="18"/>
              </w:rPr>
              <w:t>4</w:t>
            </w:r>
          </w:p>
        </w:tc>
        <w:tc>
          <w:tcPr>
            <w:tcW w:type="dxa" w:w="2650"/>
            <w:tcMar>
              <w:top w:w="85" w:type="dxa"/>
              <w:start w:w="120" w:type="dxa"/>
              <w:bottom w:w="85" w:type="dxa"/>
              <w:end w:w="120" w:type="dxa"/>
            </w:tcMar>
          </w:tcPr>
          <w:p>
            <w:pPr>
              <w:spacing w:before="0" w:after="0" w:line="252" w:lineRule="auto"/>
              <w:jc w:val="left"/>
            </w:pPr>
            <w:r/>
            <w:r>
              <w:rPr>
                <w:rFonts w:ascii="Arial" w:hAnsi="Arial"/>
                <w:b w:val="0"/>
                <w:i w:val="0"/>
                <w:color w:val="1F2937"/>
                <w:sz w:val="18"/>
              </w:rPr>
              <w:t>Run named-persona UI test</w:t>
            </w:r>
          </w:p>
        </w:tc>
        <w:tc>
          <w:tcPr>
            <w:tcW w:type="dxa" w:w="2000"/>
            <w:tcMar>
              <w:top w:w="85" w:type="dxa"/>
              <w:start w:w="120" w:type="dxa"/>
              <w:bottom w:w="85" w:type="dxa"/>
              <w:end w:w="120" w:type="dxa"/>
            </w:tcMar>
          </w:tcPr>
          <w:p>
            <w:pPr>
              <w:spacing w:before="0" w:after="0" w:line="252" w:lineRule="auto"/>
              <w:jc w:val="left"/>
            </w:pPr>
            <w:r/>
            <w:r>
              <w:rPr>
                <w:rFonts w:ascii="Arial" w:hAnsi="Arial"/>
                <w:b w:val="0"/>
                <w:i w:val="0"/>
                <w:color w:val="1F2937"/>
                <w:sz w:val="18"/>
              </w:rPr>
              <w:t>QA</w:t>
            </w:r>
          </w:p>
        </w:tc>
        <w:tc>
          <w:tcPr>
            <w:tcW w:type="dxa" w:w="4160"/>
            <w:tcMar>
              <w:top w:w="85" w:type="dxa"/>
              <w:start w:w="120" w:type="dxa"/>
              <w:bottom w:w="85" w:type="dxa"/>
              <w:end w:w="120" w:type="dxa"/>
            </w:tcMar>
          </w:tcPr>
          <w:p>
            <w:pPr>
              <w:spacing w:before="0" w:after="0" w:line="252" w:lineRule="auto"/>
              <w:jc w:val="left"/>
            </w:pPr>
            <w:r/>
            <w:r>
              <w:rPr>
                <w:rFonts w:ascii="Arial" w:hAnsi="Arial"/>
                <w:b w:val="0"/>
                <w:i w:val="0"/>
                <w:color w:val="1F2937"/>
                <w:sz w:val="18"/>
              </w:rPr>
              <w:t>Create a recurring absence with a Gantt Label and confirm every generated record contains the label.</w:t>
            </w:r>
          </w:p>
        </w:tc>
      </w:tr>
      <w:tr>
        <w:tc>
          <w:tcPr>
            <w:tcW w:type="dxa" w:w="550"/>
            <w:tcMar>
              <w:top w:w="85" w:type="dxa"/>
              <w:start w:w="120" w:type="dxa"/>
              <w:bottom w:w="85" w:type="dxa"/>
              <w:end w:w="120" w:type="dxa"/>
            </w:tcMar>
          </w:tcPr>
          <w:p>
            <w:pPr>
              <w:spacing w:before="0" w:after="0" w:line="252" w:lineRule="auto"/>
              <w:jc w:val="left"/>
            </w:pPr>
            <w:r/>
            <w:r>
              <w:rPr>
                <w:rFonts w:ascii="Arial" w:hAnsi="Arial"/>
                <w:b w:val="0"/>
                <w:i w:val="0"/>
                <w:color w:val="1F2937"/>
                <w:sz w:val="18"/>
              </w:rPr>
              <w:t>5</w:t>
            </w:r>
          </w:p>
        </w:tc>
        <w:tc>
          <w:tcPr>
            <w:tcW w:type="dxa" w:w="2650"/>
            <w:tcMar>
              <w:top w:w="85" w:type="dxa"/>
              <w:start w:w="120" w:type="dxa"/>
              <w:bottom w:w="85" w:type="dxa"/>
              <w:end w:w="120" w:type="dxa"/>
            </w:tcMar>
          </w:tcPr>
          <w:p>
            <w:pPr>
              <w:spacing w:before="0" w:after="0" w:line="252" w:lineRule="auto"/>
              <w:jc w:val="left"/>
            </w:pPr>
            <w:r/>
            <w:r>
              <w:rPr>
                <w:rFonts w:ascii="Arial" w:hAnsi="Arial"/>
                <w:b w:val="0"/>
                <w:i w:val="0"/>
                <w:color w:val="1F2937"/>
                <w:sz w:val="18"/>
              </w:rPr>
              <w:t>Complete technical inventory</w:t>
            </w:r>
          </w:p>
        </w:tc>
        <w:tc>
          <w:tcPr>
            <w:tcW w:type="dxa" w:w="2000"/>
            <w:tcMar>
              <w:top w:w="85" w:type="dxa"/>
              <w:start w:w="120" w:type="dxa"/>
              <w:bottom w:w="85" w:type="dxa"/>
              <w:end w:w="120" w:type="dxa"/>
            </w:tcMar>
          </w:tcPr>
          <w:p>
            <w:pPr>
              <w:spacing w:before="0" w:after="0" w:line="252" w:lineRule="auto"/>
              <w:jc w:val="left"/>
            </w:pPr>
            <w:r/>
            <w:r>
              <w:rPr>
                <w:rFonts w:ascii="Arial" w:hAnsi="Arial"/>
                <w:b w:val="0"/>
                <w:i w:val="0"/>
                <w:color w:val="1F2937"/>
                <w:sz w:val="18"/>
              </w:rPr>
              <w:t>Developer</w:t>
            </w:r>
          </w:p>
        </w:tc>
        <w:tc>
          <w:tcPr>
            <w:tcW w:type="dxa" w:w="4160"/>
            <w:tcMar>
              <w:top w:w="85" w:type="dxa"/>
              <w:start w:w="120" w:type="dxa"/>
              <w:bottom w:w="85" w:type="dxa"/>
              <w:end w:w="120" w:type="dxa"/>
            </w:tcMar>
          </w:tcPr>
          <w:p>
            <w:pPr>
              <w:spacing w:before="0" w:after="0" w:line="252" w:lineRule="auto"/>
              <w:jc w:val="left"/>
            </w:pPr>
            <w:r/>
            <w:r>
              <w:rPr>
                <w:rFonts w:ascii="Arial" w:hAnsi="Arial"/>
                <w:b w:val="0"/>
                <w:i w:val="0"/>
                <w:color w:val="1F2937"/>
                <w:sz w:val="18"/>
              </w:rPr>
              <w:t>List the ApexPage, controller, test class, and all three companion metadata files in the story.</w:t>
            </w:r>
          </w:p>
        </w:tc>
      </w:tr>
      <w:tr>
        <w:tc>
          <w:tcPr>
            <w:tcW w:type="dxa" w:w="550"/>
            <w:tcMar>
              <w:top w:w="85" w:type="dxa"/>
              <w:start w:w="120" w:type="dxa"/>
              <w:bottom w:w="85" w:type="dxa"/>
              <w:end w:w="120" w:type="dxa"/>
            </w:tcMar>
          </w:tcPr>
          <w:p>
            <w:pPr>
              <w:spacing w:before="0" w:after="0" w:line="252" w:lineRule="auto"/>
              <w:jc w:val="left"/>
            </w:pPr>
            <w:r/>
            <w:r>
              <w:rPr>
                <w:rFonts w:ascii="Arial" w:hAnsi="Arial"/>
                <w:b w:val="0"/>
                <w:i w:val="0"/>
                <w:color w:val="1F2937"/>
                <w:sz w:val="18"/>
              </w:rPr>
              <w:t>6</w:t>
            </w:r>
          </w:p>
        </w:tc>
        <w:tc>
          <w:tcPr>
            <w:tcW w:type="dxa" w:w="2650"/>
            <w:tcMar>
              <w:top w:w="85" w:type="dxa"/>
              <w:start w:w="120" w:type="dxa"/>
              <w:bottom w:w="85" w:type="dxa"/>
              <w:end w:w="120" w:type="dxa"/>
            </w:tcMar>
          </w:tcPr>
          <w:p>
            <w:pPr>
              <w:spacing w:before="0" w:after="0" w:line="252" w:lineRule="auto"/>
              <w:jc w:val="left"/>
            </w:pPr>
            <w:r/>
            <w:r>
              <w:rPr>
                <w:rFonts w:ascii="Arial" w:hAnsi="Arial"/>
                <w:b w:val="0"/>
                <w:i w:val="0"/>
                <w:color w:val="1F2937"/>
                <w:sz w:val="18"/>
              </w:rPr>
              <w:t>Retest in Merge or UAT</w:t>
            </w:r>
          </w:p>
        </w:tc>
        <w:tc>
          <w:tcPr>
            <w:tcW w:type="dxa" w:w="2000"/>
            <w:tcMar>
              <w:top w:w="85" w:type="dxa"/>
              <w:start w:w="120" w:type="dxa"/>
              <w:bottom w:w="85" w:type="dxa"/>
              <w:end w:w="120" w:type="dxa"/>
            </w:tcMar>
          </w:tcPr>
          <w:p>
            <w:pPr>
              <w:spacing w:before="0" w:after="0" w:line="252" w:lineRule="auto"/>
              <w:jc w:val="left"/>
            </w:pPr>
            <w:r/>
            <w:r>
              <w:rPr>
                <w:rFonts w:ascii="Arial" w:hAnsi="Arial"/>
                <w:b w:val="0"/>
                <w:i w:val="0"/>
                <w:color w:val="1F2937"/>
                <w:sz w:val="18"/>
              </w:rPr>
              <w:t>QA and Release Manager</w:t>
            </w:r>
          </w:p>
        </w:tc>
        <w:tc>
          <w:tcPr>
            <w:tcW w:type="dxa" w:w="4160"/>
            <w:tcMar>
              <w:top w:w="85" w:type="dxa"/>
              <w:start w:w="120" w:type="dxa"/>
              <w:bottom w:w="85" w:type="dxa"/>
              <w:end w:w="120" w:type="dxa"/>
            </w:tcMar>
          </w:tcPr>
          <w:p>
            <w:pPr>
              <w:spacing w:before="0" w:after="0" w:line="252" w:lineRule="auto"/>
              <w:jc w:val="left"/>
            </w:pPr>
            <w:r/>
            <w:r>
              <w:rPr>
                <w:rFonts w:ascii="Arial" w:hAnsi="Arial"/>
                <w:b w:val="0"/>
                <w:i w:val="0"/>
                <w:color w:val="1F2937"/>
                <w:sz w:val="18"/>
              </w:rPr>
              <w:t>Confirm the field renders for the affected persona after the approved package is promoted through the pipeline.</w:t>
            </w:r>
          </w:p>
        </w:tc>
      </w:tr>
    </w:tbl>
    <w:p>
      <w:pPr>
        <w:spacing w:after="20"/>
      </w:pPr>
    </w:p>
    <w:p>
      <w:pPr>
        <w:pStyle w:val="Heading1"/>
        <w:keepNext/>
      </w:pPr>
      <w:r>
        <w:t>Ready to paste peer review response</w:t>
      </w:r>
    </w:p>
    <w:p>
      <w:pPr>
        <w:spacing w:after="80" w:line="264" w:lineRule="auto"/>
      </w:pPr>
      <w:r>
        <w:rPr>
          <w:rFonts w:ascii="Arial" w:hAnsi="Arial"/>
          <w:b w:val="0"/>
          <w:i w:val="0"/>
          <w:color w:val="1F2937"/>
          <w:sz w:val="22"/>
        </w:rPr>
        <w:t>Peer review completed in GreatPlainsDevA. Approved with Conditions. The New Recurring Absence Visualforce page contains the Gantt Label field, the controller's clone logic preserves that value on every generated Resource Absence, and the focused test asserts the value on all three created records. Check-only job 0AfEa00000bn9GAKAY succeeded for all three components with 11 tests, no failures, and 80.52 percent coverage for RecurringAbsenceController. Current DevA and Merge functional source is identical; only controller and test metadata API versions differ. No additional functional development, new field, page layout, or permission-set change is indicated. Before final approval, add explicit acceptance criteria and the component inventory, decide whether the API version differences are intentional, and attach a named-persona UI save test showing that every generated record retains the label. No deployment, activation, persistent record creation, or org metadata change was made.</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GreatPlainsDevA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GreatPlainsDevA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GreatPlainsDevA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 4095 Gantt Label Peer Review</dc:title>
  <dc:subject>Check only implementation assessment in GreatPlainsDevA</dc:subject>
  <dc:creator>Peer Review</dc:creator>
  <cp:keywords>Salesforce, Great Plains, SCC-4095, Resource Absence, Gantt Label, peer review</cp:keywords>
  <dc:description>generated by python-docx</dc:description>
  <cp:lastModifiedBy/>
  <cp:revision>1</cp:revision>
  <dcterms:created xsi:type="dcterms:W3CDTF">2013-12-23T23:15:00Z</dcterms:created>
  <dcterms:modified xsi:type="dcterms:W3CDTF">2013-12-23T23:15:00Z</dcterms:modified>
  <cp:category/>
</cp:coreProperties>
</file>