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Arial" w:hAnsi="Arial"/>
          <w:b/>
          <w:i w:val="0"/>
          <w:color w:val="000000"/>
          <w:sz w:val="20"/>
        </w:rPr>
        <w:t>PEER REVIEW</w:t>
      </w:r>
    </w:p>
    <w:p>
      <w:pPr>
        <w:pStyle w:val="Title"/>
      </w:pPr>
      <w:r>
        <w:t>SCC 4273 Case Trouble Ticket Peer Review</w:t>
      </w:r>
    </w:p>
    <w:p>
      <w:pPr>
        <w:spacing w:after="240"/>
      </w:pPr>
      <w:r>
        <w:rPr>
          <w:rFonts w:ascii="Arial" w:hAnsi="Arial"/>
          <w:b w:val="0"/>
          <w:i w:val="0"/>
          <w:color w:val="000000"/>
          <w:sz w:val="26"/>
        </w:rPr>
        <w:t>Great Plains Merge Sandbox Read only implementation assessment</w:t>
      </w:r>
    </w:p>
    <w:tbl>
      <w:tblPr>
        <w:tblStyle w:val="TableGrid"/>
        <w:tblW w:type="dxa" w:w="952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50"/>
        <w:gridCol w:w="7670"/>
      </w:tblGrid>
      <w:tr>
        <w:trPr>
          <w:tblHeader/>
        </w:trPr>
        <w:tc>
          <w:tcPr>
            <w:tcW w:type="dxa" w:w="1850"/>
            <w:tcMar>
              <w:top w:w="80" w:type="dxa"/>
              <w:start w:w="115" w:type="dxa"/>
              <w:bottom w:w="80" w:type="dxa"/>
              <w:end w:w="115" w:type="dxa"/>
            </w:tcMar>
            <w:vAlign w:val="center"/>
            <w:shd w:fill="EEF1F5"/>
          </w:tcPr>
          <w:p>
            <w:pPr>
              <w:spacing w:before="0" w:after="0" w:line="252" w:lineRule="auto"/>
              <w:jc w:val="left"/>
            </w:pPr>
            <w:r/>
            <w:r>
              <w:rPr>
                <w:rFonts w:ascii="Arial" w:hAnsi="Arial"/>
                <w:b/>
                <w:i w:val="0"/>
                <w:color w:val="0B2545"/>
                <w:sz w:val="18"/>
              </w:rPr>
              <w:t>Review item</w:t>
            </w:r>
          </w:p>
        </w:tc>
        <w:tc>
          <w:tcPr>
            <w:tcW w:type="dxa" w:w="7670"/>
            <w:tcMar>
              <w:top w:w="80" w:type="dxa"/>
              <w:start w:w="115" w:type="dxa"/>
              <w:bottom w:w="80" w:type="dxa"/>
              <w:end w:w="115" w:type="dxa"/>
            </w:tcMar>
            <w:vAlign w:val="center"/>
            <w:shd w:fill="EEF1F5"/>
          </w:tcPr>
          <w:p>
            <w:pPr>
              <w:spacing w:before="0" w:after="0" w:line="252" w:lineRule="auto"/>
              <w:jc w:val="left"/>
            </w:pPr>
            <w:r/>
            <w:r>
              <w:rPr>
                <w:rFonts w:ascii="Arial" w:hAnsi="Arial"/>
                <w:b/>
                <w:i w:val="0"/>
                <w:color w:val="0B2545"/>
                <w:sz w:val="18"/>
              </w:rPr>
              <w:t>Evidence</w:t>
            </w:r>
          </w:p>
        </w:tc>
      </w:tr>
      <w:tr>
        <w:tc>
          <w:tcPr>
            <w:tcW w:type="dxa" w:w="1850"/>
            <w:tcMar>
              <w:top w:w="80" w:type="dxa"/>
              <w:start w:w="115" w:type="dxa"/>
              <w:bottom w:w="80" w:type="dxa"/>
              <w:end w:w="115" w:type="dxa"/>
            </w:tcMar>
            <w:vAlign w:val="center"/>
            <w:shd w:fill="EAF2FA"/>
          </w:tcPr>
          <w:p>
            <w:pPr>
              <w:spacing w:before="0" w:after="0" w:line="252" w:lineRule="auto"/>
              <w:jc w:val="left"/>
            </w:pPr>
            <w:r/>
            <w:r>
              <w:rPr>
                <w:rFonts w:ascii="Arial" w:hAnsi="Arial"/>
                <w:b/>
                <w:i w:val="0"/>
                <w:color w:val="0B2545"/>
                <w:sz w:val="18"/>
              </w:rPr>
              <w:t>Environment</w:t>
            </w:r>
          </w:p>
        </w:tc>
        <w:tc>
          <w:tcPr>
            <w:tcW w:type="dxa" w:w="7670"/>
            <w:tcMar>
              <w:top w:w="80" w:type="dxa"/>
              <w:start w:w="115" w:type="dxa"/>
              <w:bottom w:w="80" w:type="dxa"/>
              <w:end w:w="115" w:type="dxa"/>
            </w:tcMar>
            <w:vAlign w:val="center"/>
          </w:tcPr>
          <w:p>
            <w:pPr>
              <w:spacing w:before="0" w:after="0" w:line="252" w:lineRule="auto"/>
              <w:jc w:val="left"/>
            </w:pPr>
            <w:r/>
            <w:r>
              <w:rPr>
                <w:rFonts w:ascii="Arial" w:hAnsi="Arial"/>
                <w:b w:val="0"/>
                <w:i w:val="0"/>
                <w:color w:val="1F2937"/>
                <w:sz w:val="18"/>
              </w:rPr>
              <w:t>GreatPlainsMerge sandbox | Great Plains Communications | Org 00DEa00000GkAsHMAV</w:t>
            </w:r>
          </w:p>
        </w:tc>
      </w:tr>
      <w:tr>
        <w:tc>
          <w:tcPr>
            <w:tcW w:type="dxa" w:w="1850"/>
            <w:tcMar>
              <w:top w:w="80" w:type="dxa"/>
              <w:start w:w="115" w:type="dxa"/>
              <w:bottom w:w="80" w:type="dxa"/>
              <w:end w:w="115" w:type="dxa"/>
            </w:tcMar>
            <w:vAlign w:val="center"/>
            <w:shd w:fill="EAF2FA"/>
          </w:tcPr>
          <w:p>
            <w:pPr>
              <w:spacing w:before="0" w:after="0" w:line="252" w:lineRule="auto"/>
              <w:jc w:val="left"/>
            </w:pPr>
            <w:r/>
            <w:r>
              <w:rPr>
                <w:rFonts w:ascii="Arial" w:hAnsi="Arial"/>
                <w:b/>
                <w:i w:val="0"/>
                <w:color w:val="0B2545"/>
                <w:sz w:val="18"/>
              </w:rPr>
              <w:t>Review date</w:t>
            </w:r>
          </w:p>
        </w:tc>
        <w:tc>
          <w:tcPr>
            <w:tcW w:type="dxa" w:w="7670"/>
            <w:tcMar>
              <w:top w:w="80" w:type="dxa"/>
              <w:start w:w="115" w:type="dxa"/>
              <w:bottom w:w="80" w:type="dxa"/>
              <w:end w:w="115" w:type="dxa"/>
            </w:tcMar>
            <w:vAlign w:val="center"/>
          </w:tcPr>
          <w:p>
            <w:pPr>
              <w:spacing w:before="0" w:after="0" w:line="252" w:lineRule="auto"/>
              <w:jc w:val="left"/>
            </w:pPr>
            <w:r/>
            <w:r>
              <w:rPr>
                <w:rFonts w:ascii="Arial" w:hAnsi="Arial"/>
                <w:b w:val="0"/>
                <w:i w:val="0"/>
                <w:color w:val="1F2937"/>
                <w:sz w:val="18"/>
              </w:rPr>
              <w:t>5 September 2026</w:t>
            </w:r>
          </w:p>
        </w:tc>
      </w:tr>
      <w:tr>
        <w:tc>
          <w:tcPr>
            <w:tcW w:type="dxa" w:w="1850"/>
            <w:tcMar>
              <w:top w:w="80" w:type="dxa"/>
              <w:start w:w="115" w:type="dxa"/>
              <w:bottom w:w="80" w:type="dxa"/>
              <w:end w:w="115" w:type="dxa"/>
            </w:tcMar>
            <w:vAlign w:val="center"/>
            <w:shd w:fill="EAF2FA"/>
          </w:tcPr>
          <w:p>
            <w:pPr>
              <w:spacing w:before="0" w:after="0" w:line="252" w:lineRule="auto"/>
              <w:jc w:val="left"/>
            </w:pPr>
            <w:r/>
            <w:r>
              <w:rPr>
                <w:rFonts w:ascii="Arial" w:hAnsi="Arial"/>
                <w:b/>
                <w:i w:val="0"/>
                <w:color w:val="0B2545"/>
                <w:sz w:val="18"/>
              </w:rPr>
              <w:t>Story / branch</w:t>
            </w:r>
          </w:p>
        </w:tc>
        <w:tc>
          <w:tcPr>
            <w:tcW w:type="dxa" w:w="7670"/>
            <w:tcMar>
              <w:top w:w="80" w:type="dxa"/>
              <w:start w:w="115" w:type="dxa"/>
              <w:bottom w:w="80" w:type="dxa"/>
              <w:end w:w="115" w:type="dxa"/>
            </w:tcMar>
            <w:vAlign w:val="center"/>
          </w:tcPr>
          <w:p>
            <w:pPr>
              <w:spacing w:before="0" w:after="0" w:line="252" w:lineRule="auto"/>
              <w:jc w:val="left"/>
            </w:pPr>
            <w:r/>
            <w:r>
              <w:rPr>
                <w:rFonts w:ascii="Arial" w:hAnsi="Arial"/>
                <w:b w:val="0"/>
                <w:i w:val="0"/>
                <w:color w:val="1F2937"/>
                <w:sz w:val="18"/>
              </w:rPr>
              <w:t>SCC-4273 | dev_SCC-4273__feat-Case_-_Trouble_Ticket_</w:t>
            </w:r>
          </w:p>
        </w:tc>
      </w:tr>
      <w:tr>
        <w:tc>
          <w:tcPr>
            <w:tcW w:type="dxa" w:w="1850"/>
            <w:tcMar>
              <w:top w:w="80" w:type="dxa"/>
              <w:start w:w="115" w:type="dxa"/>
              <w:bottom w:w="80" w:type="dxa"/>
              <w:end w:w="115" w:type="dxa"/>
            </w:tcMar>
            <w:vAlign w:val="center"/>
            <w:shd w:fill="EAF2FA"/>
          </w:tcPr>
          <w:p>
            <w:pPr>
              <w:spacing w:before="0" w:after="0" w:line="252" w:lineRule="auto"/>
              <w:jc w:val="left"/>
            </w:pPr>
            <w:r/>
            <w:r>
              <w:rPr>
                <w:rFonts w:ascii="Arial" w:hAnsi="Arial"/>
                <w:b/>
                <w:i w:val="0"/>
                <w:color w:val="0B2545"/>
                <w:sz w:val="18"/>
              </w:rPr>
              <w:t>Focused retrieval</w:t>
            </w:r>
          </w:p>
        </w:tc>
        <w:tc>
          <w:tcPr>
            <w:tcW w:type="dxa" w:w="7670"/>
            <w:tcMar>
              <w:top w:w="80" w:type="dxa"/>
              <w:start w:w="115" w:type="dxa"/>
              <w:bottom w:w="80" w:type="dxa"/>
              <w:end w:w="115" w:type="dxa"/>
            </w:tcMar>
            <w:vAlign w:val="center"/>
          </w:tcPr>
          <w:p>
            <w:pPr>
              <w:spacing w:before="0" w:after="0" w:line="252" w:lineRule="auto"/>
              <w:jc w:val="left"/>
            </w:pPr>
            <w:r/>
            <w:r>
              <w:rPr>
                <w:rFonts w:ascii="Arial" w:hAnsi="Arial"/>
                <w:b w:val="0"/>
                <w:i w:val="0"/>
                <w:color w:val="1F2937"/>
                <w:sz w:val="18"/>
              </w:rPr>
              <w:t>Succeeded | Jobs 09SEa00000jCU0XMAW, 09SEa00000jCVxUMAW, 09SEa00000jCxjyMAC</w:t>
            </w:r>
          </w:p>
        </w:tc>
      </w:tr>
      <w:tr>
        <w:tc>
          <w:tcPr>
            <w:tcW w:type="dxa" w:w="1850"/>
            <w:tcMar>
              <w:top w:w="80" w:type="dxa"/>
              <w:start w:w="115" w:type="dxa"/>
              <w:bottom w:w="80" w:type="dxa"/>
              <w:end w:w="115" w:type="dxa"/>
            </w:tcMar>
            <w:vAlign w:val="center"/>
            <w:shd w:fill="EAF2FA"/>
          </w:tcPr>
          <w:p>
            <w:pPr>
              <w:spacing w:before="0" w:after="0" w:line="252" w:lineRule="auto"/>
              <w:jc w:val="left"/>
            </w:pPr>
            <w:r/>
            <w:r>
              <w:rPr>
                <w:rFonts w:ascii="Arial" w:hAnsi="Arial"/>
                <w:b/>
                <w:i w:val="0"/>
                <w:color w:val="0B2545"/>
                <w:sz w:val="18"/>
              </w:rPr>
              <w:t>Decision</w:t>
            </w:r>
          </w:p>
        </w:tc>
        <w:tc>
          <w:tcPr>
            <w:tcW w:type="dxa" w:w="7670"/>
            <w:tcMar>
              <w:top w:w="80" w:type="dxa"/>
              <w:start w:w="115" w:type="dxa"/>
              <w:bottom w:w="80" w:type="dxa"/>
              <w:end w:w="115" w:type="dxa"/>
            </w:tcMar>
            <w:vAlign w:val="center"/>
          </w:tcPr>
          <w:p>
            <w:pPr>
              <w:spacing w:before="0" w:after="0" w:line="252" w:lineRule="auto"/>
              <w:jc w:val="left"/>
            </w:pPr>
            <w:r/>
            <w:r>
              <w:rPr>
                <w:rFonts w:ascii="Arial" w:hAnsi="Arial"/>
                <w:b w:val="0"/>
                <w:i w:val="0"/>
                <w:color w:val="1F2937"/>
                <w:sz w:val="18"/>
              </w:rPr>
              <w:t>Changes Requested - do not approve the PR yet</w:t>
            </w:r>
          </w:p>
        </w:tc>
      </w:tr>
      <w:tr>
        <w:tc>
          <w:tcPr>
            <w:tcW w:type="dxa" w:w="1850"/>
            <w:tcMar>
              <w:top w:w="80" w:type="dxa"/>
              <w:start w:w="115" w:type="dxa"/>
              <w:bottom w:w="80" w:type="dxa"/>
              <w:end w:w="115" w:type="dxa"/>
            </w:tcMar>
            <w:vAlign w:val="center"/>
            <w:shd w:fill="EAF2FA"/>
          </w:tcPr>
          <w:p>
            <w:pPr>
              <w:spacing w:before="0" w:after="0" w:line="252" w:lineRule="auto"/>
              <w:jc w:val="left"/>
            </w:pPr>
            <w:r/>
            <w:r>
              <w:rPr>
                <w:rFonts w:ascii="Arial" w:hAnsi="Arial"/>
                <w:b/>
                <w:i w:val="0"/>
                <w:color w:val="0B2545"/>
                <w:sz w:val="18"/>
              </w:rPr>
              <w:t>Boundary</w:t>
            </w:r>
          </w:p>
        </w:tc>
        <w:tc>
          <w:tcPr>
            <w:tcW w:type="dxa" w:w="7670"/>
            <w:tcMar>
              <w:top w:w="80" w:type="dxa"/>
              <w:start w:w="115" w:type="dxa"/>
              <w:bottom w:w="80" w:type="dxa"/>
              <w:end w:w="115" w:type="dxa"/>
            </w:tcMar>
            <w:vAlign w:val="center"/>
          </w:tcPr>
          <w:p>
            <w:pPr>
              <w:spacing w:before="0" w:after="0" w:line="252" w:lineRule="auto"/>
              <w:jc w:val="left"/>
            </w:pPr>
            <w:r/>
            <w:r>
              <w:rPr>
                <w:rFonts w:ascii="Arial" w:hAnsi="Arial"/>
                <w:b w:val="0"/>
                <w:i w:val="0"/>
                <w:color w:val="1F2937"/>
                <w:sz w:val="18"/>
              </w:rPr>
              <w:t>Read-only review; no records, metadata, activation, deployment, or access assignments changed</w:t>
            </w:r>
          </w:p>
        </w:tc>
      </w:tr>
    </w:tbl>
    <w:p>
      <w:pPr>
        <w:spacing w:after="0"/>
      </w:pPr>
    </w:p>
    <w:p>
      <w:pPr>
        <w:spacing w:before="60" w:after="160" w:line="252" w:lineRule="auto"/>
      </w:pPr>
      <w:r>
        <w:rPr>
          <w:rFonts w:ascii="Arial" w:hAnsi="Arial"/>
          <w:b/>
          <w:i w:val="0"/>
          <w:color w:val="0B2545"/>
          <w:sz w:val="21"/>
        </w:rPr>
        <w:t xml:space="preserve">Decision  </w:t>
      </w:r>
      <w:r>
        <w:rPr>
          <w:rFonts w:ascii="Arial" w:hAnsi="Arial"/>
          <w:b w:val="0"/>
          <w:i w:val="0"/>
          <w:color w:val="1F2937"/>
          <w:sz w:val="21"/>
        </w:rPr>
        <w:t>Changes Requested. The Trouble Ticket record type, dedicated layout, source-listed fields, and reviewed profile access are present. Approval is blocked because the record type exposes only one Primary Resolution at runtime and the submitted PR URL, base, head, commit, and file diff were not supplied for code-parity review.</w:t>
      </w:r>
    </w:p>
    <w:p>
      <w:pPr>
        <w:pStyle w:val="Heading1"/>
        <w:keepNext/>
      </w:pPr>
      <w:r>
        <w:t>Acceptance outcome</w:t>
      </w:r>
    </w:p>
    <w:tbl>
      <w:tblPr>
        <w:tblStyle w:val="TableGrid"/>
        <w:tblW w:type="dxa" w:w="952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0"/>
        <w:gridCol w:w="2050"/>
        <w:gridCol w:w="1450"/>
        <w:gridCol w:w="5520"/>
      </w:tblGrid>
      <w:tr>
        <w:trPr>
          <w:tblHeader w:val="true"/>
        </w:trPr>
        <w:tc>
          <w:tcPr>
            <w:tcW w:type="dxa" w:w="50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w:t>
            </w:r>
          </w:p>
        </w:tc>
        <w:tc>
          <w:tcPr>
            <w:tcW w:type="dxa" w:w="205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Scope</w:t>
            </w:r>
          </w:p>
        </w:tc>
        <w:tc>
          <w:tcPr>
            <w:tcW w:type="dxa" w:w="145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Result</w:t>
            </w:r>
          </w:p>
        </w:tc>
        <w:tc>
          <w:tcPr>
            <w:tcW w:type="dxa" w:w="552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Evidence</w:t>
            </w:r>
          </w:p>
        </w:tc>
      </w:tr>
      <w:tr>
        <w:tc>
          <w:tcPr>
            <w:tcW w:type="dxa" w:w="500"/>
            <w:tcMar>
              <w:top w:w="80" w:type="dxa"/>
              <w:start w:w="115" w:type="dxa"/>
              <w:bottom w:w="80" w:type="dxa"/>
              <w:end w:w="115" w:type="dxa"/>
            </w:tcMar>
          </w:tcPr>
          <w:p>
            <w:pPr>
              <w:spacing w:before="0" w:after="0" w:line="252" w:lineRule="auto"/>
              <w:jc w:val="left"/>
            </w:pPr>
            <w:r/>
            <w:r>
              <w:rPr>
                <w:rFonts w:ascii="Arial" w:hAnsi="Arial"/>
                <w:b w:val="0"/>
                <w:i w:val="0"/>
                <w:color w:val="1F2937"/>
                <w:sz w:val="18"/>
              </w:rPr>
              <w:t>1</w:t>
            </w:r>
          </w:p>
        </w:tc>
        <w:tc>
          <w:tcPr>
            <w:tcW w:type="dxa" w:w="2050"/>
            <w:tcMar>
              <w:top w:w="80" w:type="dxa"/>
              <w:start w:w="115" w:type="dxa"/>
              <w:bottom w:w="80" w:type="dxa"/>
              <w:end w:w="115" w:type="dxa"/>
            </w:tcMar>
          </w:tcPr>
          <w:p>
            <w:pPr>
              <w:spacing w:before="0" w:after="0" w:line="252" w:lineRule="auto"/>
              <w:jc w:val="left"/>
            </w:pPr>
            <w:r/>
            <w:r>
              <w:rPr>
                <w:rFonts w:ascii="Arial" w:hAnsi="Arial"/>
                <w:b w:val="0"/>
                <w:i w:val="0"/>
                <w:color w:val="1F2937"/>
                <w:sz w:val="18"/>
              </w:rPr>
              <w:t>Record type and layout</w:t>
            </w:r>
          </w:p>
        </w:tc>
        <w:tc>
          <w:tcPr>
            <w:tcW w:type="dxa" w:w="1450"/>
            <w:shd w:fill="E7F5F1"/>
            <w:tcMar>
              <w:top w:w="80" w:type="dxa"/>
              <w:start w:w="115" w:type="dxa"/>
              <w:bottom w:w="80" w:type="dxa"/>
              <w:end w:w="115" w:type="dxa"/>
            </w:tcMar>
          </w:tcPr>
          <w:p>
            <w:pPr>
              <w:spacing w:before="0" w:after="0" w:line="252" w:lineRule="auto"/>
              <w:jc w:val="center"/>
            </w:pPr>
            <w:r/>
            <w:r>
              <w:rPr>
                <w:rFonts w:ascii="Arial" w:hAnsi="Arial"/>
                <w:b/>
                <w:i w:val="0"/>
                <w:color w:val="16836B"/>
                <w:sz w:val="19"/>
              </w:rPr>
              <w:t>Pass</w:t>
            </w:r>
          </w:p>
        </w:tc>
        <w:tc>
          <w:tcPr>
            <w:tcW w:type="dxa" w:w="5520"/>
            <w:tcMar>
              <w:top w:w="80" w:type="dxa"/>
              <w:start w:w="115" w:type="dxa"/>
              <w:bottom w:w="80" w:type="dxa"/>
              <w:end w:w="115" w:type="dxa"/>
            </w:tcMar>
          </w:tcPr>
          <w:p>
            <w:pPr>
              <w:spacing w:before="0" w:after="0" w:line="252" w:lineRule="auto"/>
              <w:jc w:val="left"/>
            </w:pPr>
            <w:r/>
            <w:r>
              <w:rPr>
                <w:rFonts w:ascii="Arial" w:hAnsi="Arial"/>
                <w:b w:val="0"/>
                <w:i w:val="0"/>
                <w:color w:val="1F2937"/>
                <w:sz w:val="18"/>
              </w:rPr>
              <w:t>Trouble_Ticket is active. Case-Trouble Ticket contains the source-listed Case Information, Critical Dates, and Resolution Details fields.</w:t>
            </w:r>
          </w:p>
        </w:tc>
      </w:tr>
      <w:tr>
        <w:tc>
          <w:tcPr>
            <w:tcW w:type="dxa" w:w="500"/>
            <w:tcMar>
              <w:top w:w="80" w:type="dxa"/>
              <w:start w:w="115" w:type="dxa"/>
              <w:bottom w:w="80" w:type="dxa"/>
              <w:end w:w="115" w:type="dxa"/>
            </w:tcMar>
          </w:tcPr>
          <w:p>
            <w:pPr>
              <w:spacing w:before="0" w:after="0" w:line="252" w:lineRule="auto"/>
              <w:jc w:val="left"/>
            </w:pPr>
            <w:r/>
            <w:r>
              <w:rPr>
                <w:rFonts w:ascii="Arial" w:hAnsi="Arial"/>
                <w:b w:val="0"/>
                <w:i w:val="0"/>
                <w:color w:val="1F2937"/>
                <w:sz w:val="18"/>
              </w:rPr>
              <w:t>2</w:t>
            </w:r>
          </w:p>
        </w:tc>
        <w:tc>
          <w:tcPr>
            <w:tcW w:type="dxa" w:w="2050"/>
            <w:tcMar>
              <w:top w:w="80" w:type="dxa"/>
              <w:start w:w="115" w:type="dxa"/>
              <w:bottom w:w="80" w:type="dxa"/>
              <w:end w:w="115" w:type="dxa"/>
            </w:tcMar>
          </w:tcPr>
          <w:p>
            <w:pPr>
              <w:spacing w:before="0" w:after="0" w:line="252" w:lineRule="auto"/>
              <w:jc w:val="left"/>
            </w:pPr>
            <w:r/>
            <w:r>
              <w:rPr>
                <w:rFonts w:ascii="Arial" w:hAnsi="Arial"/>
                <w:b w:val="0"/>
                <w:i w:val="0"/>
                <w:color w:val="1F2937"/>
                <w:sz w:val="18"/>
              </w:rPr>
              <w:t>Profile field access</w:t>
            </w:r>
          </w:p>
        </w:tc>
        <w:tc>
          <w:tcPr>
            <w:tcW w:type="dxa" w:w="1450"/>
            <w:shd w:fill="E7F5F1"/>
            <w:tcMar>
              <w:top w:w="80" w:type="dxa"/>
              <w:start w:w="115" w:type="dxa"/>
              <w:bottom w:w="80" w:type="dxa"/>
              <w:end w:w="115" w:type="dxa"/>
            </w:tcMar>
          </w:tcPr>
          <w:p>
            <w:pPr>
              <w:spacing w:before="0" w:after="0" w:line="252" w:lineRule="auto"/>
              <w:jc w:val="center"/>
            </w:pPr>
            <w:r/>
            <w:r>
              <w:rPr>
                <w:rFonts w:ascii="Arial" w:hAnsi="Arial"/>
                <w:b/>
                <w:i w:val="0"/>
                <w:color w:val="16836B"/>
                <w:sz w:val="19"/>
              </w:rPr>
              <w:t>Pass</w:t>
            </w:r>
          </w:p>
        </w:tc>
        <w:tc>
          <w:tcPr>
            <w:tcW w:type="dxa" w:w="5520"/>
            <w:tcMar>
              <w:top w:w="80" w:type="dxa"/>
              <w:start w:w="115" w:type="dxa"/>
              <w:bottom w:w="80" w:type="dxa"/>
              <w:end w:w="115" w:type="dxa"/>
            </w:tcMar>
          </w:tcPr>
          <w:p>
            <w:pPr>
              <w:spacing w:before="0" w:after="0" w:line="252" w:lineRule="auto"/>
              <w:jc w:val="left"/>
            </w:pPr>
            <w:r/>
            <w:r>
              <w:rPr>
                <w:rFonts w:ascii="Arial" w:hAnsi="Arial"/>
                <w:b w:val="0"/>
                <w:i w:val="0"/>
                <w:color w:val="1F2937"/>
                <w:sz w:val="18"/>
              </w:rPr>
              <w:t>Admin, Standard, and System Administrator - API Only have readable/editable access to all nine reviewed custom Case fields.</w:t>
            </w:r>
          </w:p>
        </w:tc>
      </w:tr>
      <w:tr>
        <w:tc>
          <w:tcPr>
            <w:tcW w:type="dxa" w:w="500"/>
            <w:tcMar>
              <w:top w:w="80" w:type="dxa"/>
              <w:start w:w="115" w:type="dxa"/>
              <w:bottom w:w="80" w:type="dxa"/>
              <w:end w:w="115" w:type="dxa"/>
            </w:tcMar>
          </w:tcPr>
          <w:p>
            <w:pPr>
              <w:spacing w:before="0" w:after="0" w:line="252" w:lineRule="auto"/>
              <w:jc w:val="left"/>
            </w:pPr>
            <w:r/>
            <w:r>
              <w:rPr>
                <w:rFonts w:ascii="Arial" w:hAnsi="Arial"/>
                <w:b w:val="0"/>
                <w:i w:val="0"/>
                <w:color w:val="1F2937"/>
                <w:sz w:val="18"/>
              </w:rPr>
              <w:t>3</w:t>
            </w:r>
          </w:p>
        </w:tc>
        <w:tc>
          <w:tcPr>
            <w:tcW w:type="dxa" w:w="2050"/>
            <w:tcMar>
              <w:top w:w="80" w:type="dxa"/>
              <w:start w:w="115" w:type="dxa"/>
              <w:bottom w:w="80" w:type="dxa"/>
              <w:end w:w="115" w:type="dxa"/>
            </w:tcMar>
          </w:tcPr>
          <w:p>
            <w:pPr>
              <w:spacing w:before="0" w:after="0" w:line="252" w:lineRule="auto"/>
              <w:jc w:val="left"/>
            </w:pPr>
            <w:r/>
            <w:r>
              <w:rPr>
                <w:rFonts w:ascii="Arial" w:hAnsi="Arial"/>
                <w:b w:val="0"/>
                <w:i w:val="0"/>
                <w:color w:val="1F2937"/>
                <w:sz w:val="18"/>
              </w:rPr>
              <w:t>Subscriber Report values</w:t>
            </w:r>
          </w:p>
        </w:tc>
        <w:tc>
          <w:tcPr>
            <w:tcW w:type="dxa" w:w="1450"/>
            <w:shd w:fill="FFF6DE"/>
            <w:tcMar>
              <w:top w:w="80" w:type="dxa"/>
              <w:start w:w="115" w:type="dxa"/>
              <w:bottom w:w="80" w:type="dxa"/>
              <w:end w:w="115" w:type="dxa"/>
            </w:tcMar>
          </w:tcPr>
          <w:p>
            <w:pPr>
              <w:spacing w:before="0" w:after="0" w:line="252" w:lineRule="auto"/>
              <w:jc w:val="center"/>
            </w:pPr>
            <w:r/>
            <w:r>
              <w:rPr>
                <w:rFonts w:ascii="Arial" w:hAnsi="Arial"/>
                <w:b/>
                <w:i w:val="0"/>
                <w:color w:val="B7791F"/>
                <w:sz w:val="19"/>
              </w:rPr>
              <w:t>Partial pass</w:t>
            </w:r>
          </w:p>
        </w:tc>
        <w:tc>
          <w:tcPr>
            <w:tcW w:type="dxa" w:w="5520"/>
            <w:tcMar>
              <w:top w:w="80" w:type="dxa"/>
              <w:start w:w="115" w:type="dxa"/>
              <w:bottom w:w="80" w:type="dxa"/>
              <w:end w:w="115" w:type="dxa"/>
            </w:tcMar>
          </w:tcPr>
          <w:p>
            <w:pPr>
              <w:spacing w:before="0" w:after="0" w:line="252" w:lineRule="auto"/>
              <w:jc w:val="left"/>
            </w:pPr>
            <w:r/>
            <w:r>
              <w:rPr>
                <w:rFonts w:ascii="Arial" w:hAnsi="Arial"/>
                <w:b w:val="0"/>
                <w:i w:val="0"/>
                <w:color w:val="1F2937"/>
                <w:sz w:val="18"/>
              </w:rPr>
              <w:t>All 64 unique supplied labels are enabled for Trouble Ticket. Eight additional enabled values require business confirmation.</w:t>
            </w:r>
          </w:p>
        </w:tc>
      </w:tr>
      <w:tr>
        <w:tc>
          <w:tcPr>
            <w:tcW w:type="dxa" w:w="500"/>
            <w:tcMar>
              <w:top w:w="80" w:type="dxa"/>
              <w:start w:w="115" w:type="dxa"/>
              <w:bottom w:w="80" w:type="dxa"/>
              <w:end w:w="115" w:type="dxa"/>
            </w:tcMar>
          </w:tcPr>
          <w:p>
            <w:pPr>
              <w:spacing w:before="0" w:after="0" w:line="252" w:lineRule="auto"/>
              <w:jc w:val="left"/>
            </w:pPr>
            <w:r/>
            <w:r>
              <w:rPr>
                <w:rFonts w:ascii="Arial" w:hAnsi="Arial"/>
                <w:b w:val="0"/>
                <w:i w:val="0"/>
                <w:color w:val="1F2937"/>
                <w:sz w:val="18"/>
              </w:rPr>
              <w:t>4</w:t>
            </w:r>
          </w:p>
        </w:tc>
        <w:tc>
          <w:tcPr>
            <w:tcW w:type="dxa" w:w="2050"/>
            <w:tcMar>
              <w:top w:w="80" w:type="dxa"/>
              <w:start w:w="115" w:type="dxa"/>
              <w:bottom w:w="80" w:type="dxa"/>
              <w:end w:w="115" w:type="dxa"/>
            </w:tcMar>
          </w:tcPr>
          <w:p>
            <w:pPr>
              <w:spacing w:before="0" w:after="0" w:line="252" w:lineRule="auto"/>
              <w:jc w:val="left"/>
            </w:pPr>
            <w:r/>
            <w:r>
              <w:rPr>
                <w:rFonts w:ascii="Arial" w:hAnsi="Arial"/>
                <w:b w:val="0"/>
                <w:i w:val="0"/>
                <w:color w:val="1F2937"/>
                <w:sz w:val="18"/>
              </w:rPr>
              <w:t>Primary Resolution runtime</w:t>
            </w:r>
          </w:p>
        </w:tc>
        <w:tc>
          <w:tcPr>
            <w:tcW w:type="dxa" w:w="1450"/>
            <w:shd w:fill="FDECEC"/>
            <w:tcMar>
              <w:top w:w="80" w:type="dxa"/>
              <w:start w:w="115" w:type="dxa"/>
              <w:bottom w:w="80" w:type="dxa"/>
              <w:end w:w="115" w:type="dxa"/>
            </w:tcMar>
          </w:tcPr>
          <w:p>
            <w:pPr>
              <w:spacing w:before="0" w:after="0" w:line="252" w:lineRule="auto"/>
              <w:jc w:val="center"/>
            </w:pPr>
            <w:r/>
            <w:r>
              <w:rPr>
                <w:rFonts w:ascii="Arial" w:hAnsi="Arial"/>
                <w:b/>
                <w:i w:val="0"/>
                <w:color w:val="C53030"/>
                <w:sz w:val="19"/>
              </w:rPr>
              <w:t>Fail</w:t>
            </w:r>
          </w:p>
        </w:tc>
        <w:tc>
          <w:tcPr>
            <w:tcW w:type="dxa" w:w="5520"/>
            <w:tcMar>
              <w:top w:w="80" w:type="dxa"/>
              <w:start w:w="115" w:type="dxa"/>
              <w:bottom w:w="80" w:type="dxa"/>
              <w:end w:w="115" w:type="dxa"/>
            </w:tcMar>
          </w:tcPr>
          <w:p>
            <w:pPr>
              <w:spacing w:before="0" w:after="0" w:line="252" w:lineRule="auto"/>
              <w:jc w:val="left"/>
            </w:pPr>
            <w:r/>
            <w:r>
              <w:rPr>
                <w:rFonts w:ascii="Arial" w:hAnsi="Arial"/>
                <w:b w:val="0"/>
                <w:i w:val="0"/>
                <w:color w:val="1F2937"/>
                <w:sz w:val="18"/>
              </w:rPr>
              <w:t>Only Cleared Without Repair is enabled for the Trouble Ticket record type, although 61 unique resolution labels were supplied.</w:t>
            </w:r>
          </w:p>
        </w:tc>
      </w:tr>
      <w:tr>
        <w:tc>
          <w:tcPr>
            <w:tcW w:type="dxa" w:w="500"/>
            <w:tcMar>
              <w:top w:w="80" w:type="dxa"/>
              <w:start w:w="115" w:type="dxa"/>
              <w:bottom w:w="80" w:type="dxa"/>
              <w:end w:w="115" w:type="dxa"/>
            </w:tcMar>
          </w:tcPr>
          <w:p>
            <w:pPr>
              <w:spacing w:before="0" w:after="0" w:line="252" w:lineRule="auto"/>
              <w:jc w:val="left"/>
            </w:pPr>
            <w:r/>
            <w:r>
              <w:rPr>
                <w:rFonts w:ascii="Arial" w:hAnsi="Arial"/>
                <w:b w:val="0"/>
                <w:i w:val="0"/>
                <w:color w:val="1F2937"/>
                <w:sz w:val="18"/>
              </w:rPr>
              <w:t>5</w:t>
            </w:r>
          </w:p>
        </w:tc>
        <w:tc>
          <w:tcPr>
            <w:tcW w:type="dxa" w:w="2050"/>
            <w:tcMar>
              <w:top w:w="80" w:type="dxa"/>
              <w:start w:w="115" w:type="dxa"/>
              <w:bottom w:w="80" w:type="dxa"/>
              <w:end w:w="115" w:type="dxa"/>
            </w:tcMar>
          </w:tcPr>
          <w:p>
            <w:pPr>
              <w:spacing w:before="0" w:after="0" w:line="252" w:lineRule="auto"/>
              <w:jc w:val="left"/>
            </w:pPr>
            <w:r/>
            <w:r>
              <w:rPr>
                <w:rFonts w:ascii="Arial" w:hAnsi="Arial"/>
                <w:b w:val="0"/>
                <w:i w:val="0"/>
                <w:color w:val="1F2937"/>
                <w:sz w:val="18"/>
              </w:rPr>
              <w:t>Dependency design</w:t>
            </w:r>
          </w:p>
        </w:tc>
        <w:tc>
          <w:tcPr>
            <w:tcW w:type="dxa" w:w="1450"/>
            <w:shd w:fill="FDECEC"/>
            <w:tcMar>
              <w:top w:w="80" w:type="dxa"/>
              <w:start w:w="115" w:type="dxa"/>
              <w:bottom w:w="80" w:type="dxa"/>
              <w:end w:w="115" w:type="dxa"/>
            </w:tcMar>
          </w:tcPr>
          <w:p>
            <w:pPr>
              <w:spacing w:before="0" w:after="0" w:line="252" w:lineRule="auto"/>
              <w:jc w:val="center"/>
            </w:pPr>
            <w:r/>
            <w:r>
              <w:rPr>
                <w:rFonts w:ascii="Arial" w:hAnsi="Arial"/>
                <w:b/>
                <w:i w:val="0"/>
                <w:color w:val="C53030"/>
                <w:sz w:val="19"/>
              </w:rPr>
              <w:t>Fail</w:t>
            </w:r>
          </w:p>
        </w:tc>
        <w:tc>
          <w:tcPr>
            <w:tcW w:type="dxa" w:w="5520"/>
            <w:tcMar>
              <w:top w:w="80" w:type="dxa"/>
              <w:start w:w="115" w:type="dxa"/>
              <w:bottom w:w="80" w:type="dxa"/>
              <w:end w:w="115" w:type="dxa"/>
            </w:tcMar>
          </w:tcPr>
          <w:p>
            <w:pPr>
              <w:spacing w:before="0" w:after="0" w:line="252" w:lineRule="auto"/>
              <w:jc w:val="left"/>
            </w:pPr>
            <w:r/>
            <w:r>
              <w:rPr>
                <w:rFonts w:ascii="Arial" w:hAnsi="Arial"/>
                <w:b w:val="0"/>
                <w:i w:val="0"/>
                <w:color w:val="1F2937"/>
                <w:sz w:val="18"/>
              </w:rPr>
              <w:t>Primary Resolution depends on Subscriber Report, but Subscriber Report has no Service Type controller. The intended matrix is not documented in acceptance criteria.</w:t>
            </w:r>
          </w:p>
        </w:tc>
      </w:tr>
      <w:tr>
        <w:tc>
          <w:tcPr>
            <w:tcW w:type="dxa" w:w="500"/>
            <w:tcMar>
              <w:top w:w="80" w:type="dxa"/>
              <w:start w:w="115" w:type="dxa"/>
              <w:bottom w:w="80" w:type="dxa"/>
              <w:end w:w="115" w:type="dxa"/>
            </w:tcMar>
          </w:tcPr>
          <w:p>
            <w:pPr>
              <w:spacing w:before="0" w:after="0" w:line="252" w:lineRule="auto"/>
              <w:jc w:val="left"/>
            </w:pPr>
            <w:r/>
            <w:r>
              <w:rPr>
                <w:rFonts w:ascii="Arial" w:hAnsi="Arial"/>
                <w:b w:val="0"/>
                <w:i w:val="0"/>
                <w:color w:val="1F2937"/>
                <w:sz w:val="18"/>
              </w:rPr>
              <w:t>6</w:t>
            </w:r>
          </w:p>
        </w:tc>
        <w:tc>
          <w:tcPr>
            <w:tcW w:type="dxa" w:w="2050"/>
            <w:tcMar>
              <w:top w:w="80" w:type="dxa"/>
              <w:start w:w="115" w:type="dxa"/>
              <w:bottom w:w="80" w:type="dxa"/>
              <w:end w:w="115" w:type="dxa"/>
            </w:tcMar>
          </w:tcPr>
          <w:p>
            <w:pPr>
              <w:spacing w:before="0" w:after="0" w:line="252" w:lineRule="auto"/>
              <w:jc w:val="left"/>
            </w:pPr>
            <w:r/>
            <w:r>
              <w:rPr>
                <w:rFonts w:ascii="Arial" w:hAnsi="Arial"/>
                <w:b w:val="0"/>
                <w:i w:val="0"/>
                <w:color w:val="1F2937"/>
                <w:sz w:val="18"/>
              </w:rPr>
              <w:t>PR parity and API proof</w:t>
            </w:r>
          </w:p>
        </w:tc>
        <w:tc>
          <w:tcPr>
            <w:tcW w:type="dxa" w:w="1450"/>
            <w:shd w:fill="FFF6DE"/>
            <w:tcMar>
              <w:top w:w="80" w:type="dxa"/>
              <w:start w:w="115" w:type="dxa"/>
              <w:bottom w:w="80" w:type="dxa"/>
              <w:end w:w="115" w:type="dxa"/>
            </w:tcMar>
          </w:tcPr>
          <w:p>
            <w:pPr>
              <w:spacing w:before="0" w:after="0" w:line="252" w:lineRule="auto"/>
              <w:jc w:val="center"/>
            </w:pPr>
            <w:r/>
            <w:r>
              <w:rPr>
                <w:rFonts w:ascii="Arial" w:hAnsi="Arial"/>
                <w:b/>
                <w:i w:val="0"/>
                <w:color w:val="B7791F"/>
                <w:sz w:val="19"/>
              </w:rPr>
              <w:t>Not proven</w:t>
            </w:r>
          </w:p>
        </w:tc>
        <w:tc>
          <w:tcPr>
            <w:tcW w:type="dxa" w:w="5520"/>
            <w:tcMar>
              <w:top w:w="80" w:type="dxa"/>
              <w:start w:w="115" w:type="dxa"/>
              <w:bottom w:w="80" w:type="dxa"/>
              <w:end w:w="115" w:type="dxa"/>
            </w:tcMar>
          </w:tcPr>
          <w:p>
            <w:pPr>
              <w:spacing w:before="0" w:after="0" w:line="252" w:lineRule="auto"/>
              <w:jc w:val="left"/>
            </w:pPr>
            <w:r/>
            <w:r>
              <w:rPr>
                <w:rFonts w:ascii="Arial" w:hAnsi="Arial"/>
                <w:b w:val="0"/>
                <w:i w:val="0"/>
                <w:color w:val="1F2937"/>
                <w:sz w:val="18"/>
              </w:rPr>
              <w:t>The document provides a branch name but no PR diff. The separate API org shown in screenshots was not connected for independent verification.</w:t>
            </w:r>
          </w:p>
        </w:tc>
      </w:tr>
    </w:tbl>
    <w:p>
      <w:pPr>
        <w:spacing w:after="20"/>
      </w:pPr>
    </w:p>
    <w:p>
      <w:r>
        <w:br w:type="page"/>
      </w:r>
    </w:p>
    <w:p>
      <w:pPr>
        <w:pStyle w:val="Heading1"/>
        <w:keepNext/>
      </w:pPr>
      <w:r>
        <w:t>Layout and access evidence</w:t>
      </w:r>
    </w:p>
    <w:tbl>
      <w:tblPr>
        <w:tblStyle w:val="TableGrid"/>
        <w:tblW w:type="dxa" w:w="952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50"/>
        <w:gridCol w:w="1400"/>
        <w:gridCol w:w="5770"/>
      </w:tblGrid>
      <w:tr>
        <w:trPr>
          <w:tblHeader w:val="true"/>
        </w:trPr>
        <w:tc>
          <w:tcPr>
            <w:tcW w:type="dxa" w:w="235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Area</w:t>
            </w:r>
          </w:p>
        </w:tc>
        <w:tc>
          <w:tcPr>
            <w:tcW w:type="dxa" w:w="140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Result</w:t>
            </w:r>
          </w:p>
        </w:tc>
        <w:tc>
          <w:tcPr>
            <w:tcW w:type="dxa" w:w="577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Current Merge evidence</w:t>
            </w:r>
          </w:p>
        </w:tc>
      </w:tr>
      <w:tr>
        <w:tc>
          <w:tcPr>
            <w:tcW w:type="dxa" w:w="2350"/>
            <w:tcMar>
              <w:top w:w="80" w:type="dxa"/>
              <w:start w:w="115" w:type="dxa"/>
              <w:bottom w:w="80" w:type="dxa"/>
              <w:end w:w="115" w:type="dxa"/>
            </w:tcMar>
          </w:tcPr>
          <w:p>
            <w:pPr>
              <w:spacing w:before="0" w:after="0" w:line="252" w:lineRule="auto"/>
              <w:jc w:val="left"/>
            </w:pPr>
            <w:r/>
            <w:r>
              <w:rPr>
                <w:rFonts w:ascii="Arial" w:hAnsi="Arial"/>
                <w:b w:val="0"/>
                <w:i w:val="0"/>
                <w:color w:val="1F2937"/>
                <w:sz w:val="18"/>
              </w:rPr>
              <w:t>Case Information</w:t>
            </w:r>
          </w:p>
        </w:tc>
        <w:tc>
          <w:tcPr>
            <w:tcW w:type="dxa" w:w="1400"/>
            <w:shd w:fill="E7F5F1"/>
            <w:tcMar>
              <w:top w:w="80" w:type="dxa"/>
              <w:start w:w="115" w:type="dxa"/>
              <w:bottom w:w="80" w:type="dxa"/>
              <w:end w:w="115" w:type="dxa"/>
            </w:tcMar>
          </w:tcPr>
          <w:p>
            <w:pPr>
              <w:spacing w:before="0" w:after="0" w:line="252" w:lineRule="auto"/>
              <w:jc w:val="center"/>
            </w:pPr>
            <w:r/>
            <w:r>
              <w:rPr>
                <w:rFonts w:ascii="Arial" w:hAnsi="Arial"/>
                <w:b/>
                <w:i w:val="0"/>
                <w:color w:val="16836B"/>
                <w:sz w:val="19"/>
              </w:rPr>
              <w:t>Pass</w:t>
            </w:r>
          </w:p>
        </w:tc>
        <w:tc>
          <w:tcPr>
            <w:tcW w:type="dxa" w:w="5770"/>
            <w:tcMar>
              <w:top w:w="80" w:type="dxa"/>
              <w:start w:w="115" w:type="dxa"/>
              <w:bottom w:w="80" w:type="dxa"/>
              <w:end w:w="115" w:type="dxa"/>
            </w:tcMar>
          </w:tcPr>
          <w:p>
            <w:pPr>
              <w:spacing w:before="0" w:after="0" w:line="252" w:lineRule="auto"/>
              <w:jc w:val="left"/>
            </w:pPr>
            <w:r/>
            <w:r>
              <w:rPr>
                <w:rFonts w:ascii="Arial" w:hAnsi="Arial"/>
                <w:b w:val="0"/>
                <w:i w:val="0"/>
                <w:color w:val="1F2937"/>
                <w:sz w:val="18"/>
              </w:rPr>
              <w:t>Parent Case, Service Type, Service Address, standard Priority, Subscriber Report, and other routing/contact fields are present.</w:t>
            </w:r>
          </w:p>
        </w:tc>
      </w:tr>
      <w:tr>
        <w:tc>
          <w:tcPr>
            <w:tcW w:type="dxa" w:w="2350"/>
            <w:tcMar>
              <w:top w:w="80" w:type="dxa"/>
              <w:start w:w="115" w:type="dxa"/>
              <w:bottom w:w="80" w:type="dxa"/>
              <w:end w:w="115" w:type="dxa"/>
            </w:tcMar>
          </w:tcPr>
          <w:p>
            <w:pPr>
              <w:spacing w:before="0" w:after="0" w:line="252" w:lineRule="auto"/>
              <w:jc w:val="left"/>
            </w:pPr>
            <w:r/>
            <w:r>
              <w:rPr>
                <w:rFonts w:ascii="Arial" w:hAnsi="Arial"/>
                <w:b w:val="0"/>
                <w:i w:val="0"/>
                <w:color w:val="1F2937"/>
                <w:sz w:val="18"/>
              </w:rPr>
              <w:t>Critical Dates</w:t>
            </w:r>
          </w:p>
        </w:tc>
        <w:tc>
          <w:tcPr>
            <w:tcW w:type="dxa" w:w="1400"/>
            <w:shd w:fill="E7F5F1"/>
            <w:tcMar>
              <w:top w:w="80" w:type="dxa"/>
              <w:start w:w="115" w:type="dxa"/>
              <w:bottom w:w="80" w:type="dxa"/>
              <w:end w:w="115" w:type="dxa"/>
            </w:tcMar>
          </w:tcPr>
          <w:p>
            <w:pPr>
              <w:spacing w:before="0" w:after="0" w:line="252" w:lineRule="auto"/>
              <w:jc w:val="center"/>
            </w:pPr>
            <w:r/>
            <w:r>
              <w:rPr>
                <w:rFonts w:ascii="Arial" w:hAnsi="Arial"/>
                <w:b/>
                <w:i w:val="0"/>
                <w:color w:val="16836B"/>
                <w:sz w:val="19"/>
              </w:rPr>
              <w:t>Pass</w:t>
            </w:r>
          </w:p>
        </w:tc>
        <w:tc>
          <w:tcPr>
            <w:tcW w:type="dxa" w:w="5770"/>
            <w:tcMar>
              <w:top w:w="80" w:type="dxa"/>
              <w:start w:w="115" w:type="dxa"/>
              <w:bottom w:w="80" w:type="dxa"/>
              <w:end w:w="115" w:type="dxa"/>
            </w:tcMar>
          </w:tcPr>
          <w:p>
            <w:pPr>
              <w:spacing w:before="0" w:after="0" w:line="252" w:lineRule="auto"/>
              <w:jc w:val="left"/>
            </w:pPr>
            <w:r/>
            <w:r>
              <w:rPr>
                <w:rFonts w:ascii="Arial" w:hAnsi="Arial"/>
                <w:b w:val="0"/>
                <w:i w:val="0"/>
                <w:color w:val="1F2937"/>
                <w:sz w:val="18"/>
              </w:rPr>
              <w:t>Problem Occurred, Problem Reported, Repair, Created, and Closed dates are present.</w:t>
            </w:r>
          </w:p>
        </w:tc>
      </w:tr>
      <w:tr>
        <w:tc>
          <w:tcPr>
            <w:tcW w:type="dxa" w:w="2350"/>
            <w:tcMar>
              <w:top w:w="80" w:type="dxa"/>
              <w:start w:w="115" w:type="dxa"/>
              <w:bottom w:w="80" w:type="dxa"/>
              <w:end w:w="115" w:type="dxa"/>
            </w:tcMar>
          </w:tcPr>
          <w:p>
            <w:pPr>
              <w:spacing w:before="0" w:after="0" w:line="252" w:lineRule="auto"/>
              <w:jc w:val="left"/>
            </w:pPr>
            <w:r/>
            <w:r>
              <w:rPr>
                <w:rFonts w:ascii="Arial" w:hAnsi="Arial"/>
                <w:b w:val="0"/>
                <w:i w:val="0"/>
                <w:color w:val="1F2937"/>
                <w:sz w:val="18"/>
              </w:rPr>
              <w:t>Resolution Details</w:t>
            </w:r>
          </w:p>
        </w:tc>
        <w:tc>
          <w:tcPr>
            <w:tcW w:type="dxa" w:w="1400"/>
            <w:shd w:fill="E7F5F1"/>
            <w:tcMar>
              <w:top w:w="80" w:type="dxa"/>
              <w:start w:w="115" w:type="dxa"/>
              <w:bottom w:w="80" w:type="dxa"/>
              <w:end w:w="115" w:type="dxa"/>
            </w:tcMar>
          </w:tcPr>
          <w:p>
            <w:pPr>
              <w:spacing w:before="0" w:after="0" w:line="252" w:lineRule="auto"/>
              <w:jc w:val="center"/>
            </w:pPr>
            <w:r/>
            <w:r>
              <w:rPr>
                <w:rFonts w:ascii="Arial" w:hAnsi="Arial"/>
                <w:b/>
                <w:i w:val="0"/>
                <w:color w:val="16836B"/>
                <w:sz w:val="19"/>
              </w:rPr>
              <w:t>Pass</w:t>
            </w:r>
          </w:p>
        </w:tc>
        <w:tc>
          <w:tcPr>
            <w:tcW w:type="dxa" w:w="5770"/>
            <w:tcMar>
              <w:top w:w="80" w:type="dxa"/>
              <w:start w:w="115" w:type="dxa"/>
              <w:bottom w:w="80" w:type="dxa"/>
              <w:end w:w="115" w:type="dxa"/>
            </w:tcMar>
          </w:tcPr>
          <w:p>
            <w:pPr>
              <w:spacing w:before="0" w:after="0" w:line="252" w:lineRule="auto"/>
              <w:jc w:val="left"/>
            </w:pPr>
            <w:r/>
            <w:r>
              <w:rPr>
                <w:rFonts w:ascii="Arial" w:hAnsi="Arial"/>
                <w:b w:val="0"/>
                <w:i w:val="0"/>
                <w:color w:val="1F2937"/>
                <w:sz w:val="18"/>
              </w:rPr>
              <w:t>Primary Resolution, Secondary Resolution, and Resolution Detail are present.</w:t>
            </w:r>
          </w:p>
        </w:tc>
      </w:tr>
      <w:tr>
        <w:tc>
          <w:tcPr>
            <w:tcW w:type="dxa" w:w="2350"/>
            <w:tcMar>
              <w:top w:w="80" w:type="dxa"/>
              <w:start w:w="115" w:type="dxa"/>
              <w:bottom w:w="80" w:type="dxa"/>
              <w:end w:w="115" w:type="dxa"/>
            </w:tcMar>
          </w:tcPr>
          <w:p>
            <w:pPr>
              <w:spacing w:before="0" w:after="0" w:line="252" w:lineRule="auto"/>
              <w:jc w:val="left"/>
            </w:pPr>
            <w:r/>
            <w:r>
              <w:rPr>
                <w:rFonts w:ascii="Arial" w:hAnsi="Arial"/>
                <w:b w:val="0"/>
                <w:i w:val="0"/>
                <w:color w:val="1F2937"/>
                <w:sz w:val="18"/>
              </w:rPr>
              <w:t>Record type</w:t>
            </w:r>
          </w:p>
        </w:tc>
        <w:tc>
          <w:tcPr>
            <w:tcW w:type="dxa" w:w="1400"/>
            <w:shd w:fill="E7F5F1"/>
            <w:tcMar>
              <w:top w:w="80" w:type="dxa"/>
              <w:start w:w="115" w:type="dxa"/>
              <w:bottom w:w="80" w:type="dxa"/>
              <w:end w:w="115" w:type="dxa"/>
            </w:tcMar>
          </w:tcPr>
          <w:p>
            <w:pPr>
              <w:spacing w:before="0" w:after="0" w:line="252" w:lineRule="auto"/>
              <w:jc w:val="center"/>
            </w:pPr>
            <w:r/>
            <w:r>
              <w:rPr>
                <w:rFonts w:ascii="Arial" w:hAnsi="Arial"/>
                <w:b/>
                <w:i w:val="0"/>
                <w:color w:val="16836B"/>
                <w:sz w:val="19"/>
              </w:rPr>
              <w:t>Pass</w:t>
            </w:r>
          </w:p>
        </w:tc>
        <w:tc>
          <w:tcPr>
            <w:tcW w:type="dxa" w:w="5770"/>
            <w:tcMar>
              <w:top w:w="80" w:type="dxa"/>
              <w:start w:w="115" w:type="dxa"/>
              <w:bottom w:w="80" w:type="dxa"/>
              <w:end w:w="115" w:type="dxa"/>
            </w:tcMar>
          </w:tcPr>
          <w:p>
            <w:pPr>
              <w:spacing w:before="0" w:after="0" w:line="252" w:lineRule="auto"/>
              <w:jc w:val="left"/>
            </w:pPr>
            <w:r/>
            <w:r>
              <w:rPr>
                <w:rFonts w:ascii="Arial" w:hAnsi="Arial"/>
                <w:b w:val="0"/>
                <w:i w:val="0"/>
                <w:color w:val="1F2937"/>
                <w:sz w:val="18"/>
              </w:rPr>
              <w:t>Trouble_Ticket is active with ID 012Ea000007eNrVIAU.</w:t>
            </w:r>
          </w:p>
        </w:tc>
      </w:tr>
      <w:tr>
        <w:tc>
          <w:tcPr>
            <w:tcW w:type="dxa" w:w="2350"/>
            <w:tcMar>
              <w:top w:w="80" w:type="dxa"/>
              <w:start w:w="115" w:type="dxa"/>
              <w:bottom w:w="80" w:type="dxa"/>
              <w:end w:w="115" w:type="dxa"/>
            </w:tcMar>
          </w:tcPr>
          <w:p>
            <w:pPr>
              <w:spacing w:before="0" w:after="0" w:line="252" w:lineRule="auto"/>
              <w:jc w:val="left"/>
            </w:pPr>
            <w:r/>
            <w:r>
              <w:rPr>
                <w:rFonts w:ascii="Arial" w:hAnsi="Arial"/>
                <w:b w:val="0"/>
                <w:i w:val="0"/>
                <w:color w:val="1F2937"/>
                <w:sz w:val="18"/>
              </w:rPr>
              <w:t>Dedicated layout</w:t>
            </w:r>
          </w:p>
        </w:tc>
        <w:tc>
          <w:tcPr>
            <w:tcW w:type="dxa" w:w="1400"/>
            <w:shd w:fill="E7F5F1"/>
            <w:tcMar>
              <w:top w:w="80" w:type="dxa"/>
              <w:start w:w="115" w:type="dxa"/>
              <w:bottom w:w="80" w:type="dxa"/>
              <w:end w:w="115" w:type="dxa"/>
            </w:tcMar>
          </w:tcPr>
          <w:p>
            <w:pPr>
              <w:spacing w:before="0" w:after="0" w:line="252" w:lineRule="auto"/>
              <w:jc w:val="center"/>
            </w:pPr>
            <w:r/>
            <w:r>
              <w:rPr>
                <w:rFonts w:ascii="Arial" w:hAnsi="Arial"/>
                <w:b/>
                <w:i w:val="0"/>
                <w:color w:val="16836B"/>
                <w:sz w:val="19"/>
              </w:rPr>
              <w:t>Pass</w:t>
            </w:r>
          </w:p>
        </w:tc>
        <w:tc>
          <w:tcPr>
            <w:tcW w:type="dxa" w:w="5770"/>
            <w:tcMar>
              <w:top w:w="80" w:type="dxa"/>
              <w:start w:w="115" w:type="dxa"/>
              <w:bottom w:w="80" w:type="dxa"/>
              <w:end w:w="115" w:type="dxa"/>
            </w:tcMar>
          </w:tcPr>
          <w:p>
            <w:pPr>
              <w:spacing w:before="0" w:after="0" w:line="252" w:lineRule="auto"/>
              <w:jc w:val="left"/>
            </w:pPr>
            <w:r/>
            <w:r>
              <w:rPr>
                <w:rFonts w:ascii="Arial" w:hAnsi="Arial"/>
                <w:b w:val="0"/>
                <w:i w:val="0"/>
                <w:color w:val="1F2937"/>
                <w:sz w:val="18"/>
              </w:rPr>
              <w:t>Case-Trouble Ticket is assigned to the reviewed profiles for this record type.</w:t>
            </w:r>
          </w:p>
        </w:tc>
      </w:tr>
    </w:tbl>
    <w:p>
      <w:pPr>
        <w:spacing w:after="20"/>
      </w:pPr>
    </w:p>
    <w:p>
      <w:pPr>
        <w:pStyle w:val="Heading2"/>
        <w:keepNext/>
      </w:pPr>
      <w:r>
        <w:t>Reviewed custom-field permissions</w:t>
      </w:r>
    </w:p>
    <w:tbl>
      <w:tblPr>
        <w:tblStyle w:val="TableGrid"/>
        <w:tblW w:type="dxa" w:w="952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50"/>
        <w:gridCol w:w="2050"/>
        <w:gridCol w:w="2050"/>
        <w:gridCol w:w="2170"/>
      </w:tblGrid>
      <w:tr>
        <w:trPr>
          <w:tblHeader w:val="true"/>
        </w:trPr>
        <w:tc>
          <w:tcPr>
            <w:tcW w:type="dxa" w:w="325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Profile metadata name</w:t>
            </w:r>
          </w:p>
        </w:tc>
        <w:tc>
          <w:tcPr>
            <w:tcW w:type="dxa" w:w="205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Read access</w:t>
            </w:r>
          </w:p>
        </w:tc>
        <w:tc>
          <w:tcPr>
            <w:tcW w:type="dxa" w:w="205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Edit access</w:t>
            </w:r>
          </w:p>
        </w:tc>
        <w:tc>
          <w:tcPr>
            <w:tcW w:type="dxa" w:w="217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Result</w:t>
            </w:r>
          </w:p>
        </w:tc>
      </w:tr>
      <w:tr>
        <w:tc>
          <w:tcPr>
            <w:tcW w:type="dxa" w:w="3250"/>
            <w:tcMar>
              <w:top w:w="80" w:type="dxa"/>
              <w:start w:w="115" w:type="dxa"/>
              <w:bottom w:w="80" w:type="dxa"/>
              <w:end w:w="115" w:type="dxa"/>
            </w:tcMar>
          </w:tcPr>
          <w:p>
            <w:pPr>
              <w:spacing w:before="0" w:after="0" w:line="252" w:lineRule="auto"/>
              <w:jc w:val="left"/>
            </w:pPr>
            <w:r/>
            <w:r>
              <w:rPr>
                <w:rFonts w:ascii="Arial" w:hAnsi="Arial"/>
                <w:b w:val="0"/>
                <w:i w:val="0"/>
                <w:color w:val="1F2937"/>
                <w:sz w:val="18"/>
              </w:rPr>
              <w:t>Admin</w:t>
            </w:r>
          </w:p>
        </w:tc>
        <w:tc>
          <w:tcPr>
            <w:tcW w:type="dxa" w:w="2050"/>
            <w:tcMar>
              <w:top w:w="80" w:type="dxa"/>
              <w:start w:w="115" w:type="dxa"/>
              <w:bottom w:w="80" w:type="dxa"/>
              <w:end w:w="115" w:type="dxa"/>
            </w:tcMar>
          </w:tcPr>
          <w:p>
            <w:pPr>
              <w:spacing w:before="0" w:after="0" w:line="252" w:lineRule="auto"/>
              <w:jc w:val="left"/>
            </w:pPr>
            <w:r/>
            <w:r>
              <w:rPr>
                <w:rFonts w:ascii="Arial" w:hAnsi="Arial"/>
                <w:b w:val="0"/>
                <w:i w:val="0"/>
                <w:color w:val="1F2937"/>
                <w:sz w:val="18"/>
              </w:rPr>
              <w:t>9 of 9 readable</w:t>
            </w:r>
          </w:p>
        </w:tc>
        <w:tc>
          <w:tcPr>
            <w:tcW w:type="dxa" w:w="2050"/>
            <w:tcMar>
              <w:top w:w="80" w:type="dxa"/>
              <w:start w:w="115" w:type="dxa"/>
              <w:bottom w:w="80" w:type="dxa"/>
              <w:end w:w="115" w:type="dxa"/>
            </w:tcMar>
          </w:tcPr>
          <w:p>
            <w:pPr>
              <w:spacing w:before="0" w:after="0" w:line="252" w:lineRule="auto"/>
              <w:jc w:val="left"/>
            </w:pPr>
            <w:r/>
            <w:r>
              <w:rPr>
                <w:rFonts w:ascii="Arial" w:hAnsi="Arial"/>
                <w:b w:val="0"/>
                <w:i w:val="0"/>
                <w:color w:val="1F2937"/>
                <w:sz w:val="18"/>
              </w:rPr>
              <w:t>9 of 9 editable</w:t>
            </w:r>
          </w:p>
        </w:tc>
        <w:tc>
          <w:tcPr>
            <w:tcW w:type="dxa" w:w="2170"/>
            <w:shd w:fill="E7F5F1"/>
            <w:tcMar>
              <w:top w:w="80" w:type="dxa"/>
              <w:start w:w="115" w:type="dxa"/>
              <w:bottom w:w="80" w:type="dxa"/>
              <w:end w:w="115" w:type="dxa"/>
            </w:tcMar>
          </w:tcPr>
          <w:p>
            <w:pPr>
              <w:spacing w:before="0" w:after="0" w:line="252" w:lineRule="auto"/>
              <w:jc w:val="center"/>
            </w:pPr>
            <w:r/>
            <w:r>
              <w:rPr>
                <w:rFonts w:ascii="Arial" w:hAnsi="Arial"/>
                <w:b/>
                <w:i w:val="0"/>
                <w:color w:val="16836B"/>
                <w:sz w:val="19"/>
              </w:rPr>
              <w:t>Pass</w:t>
            </w:r>
          </w:p>
        </w:tc>
      </w:tr>
      <w:tr>
        <w:tc>
          <w:tcPr>
            <w:tcW w:type="dxa" w:w="3250"/>
            <w:tcMar>
              <w:top w:w="80" w:type="dxa"/>
              <w:start w:w="115" w:type="dxa"/>
              <w:bottom w:w="80" w:type="dxa"/>
              <w:end w:w="115" w:type="dxa"/>
            </w:tcMar>
          </w:tcPr>
          <w:p>
            <w:pPr>
              <w:spacing w:before="0" w:after="0" w:line="252" w:lineRule="auto"/>
              <w:jc w:val="left"/>
            </w:pPr>
            <w:r/>
            <w:r>
              <w:rPr>
                <w:rFonts w:ascii="Arial" w:hAnsi="Arial"/>
                <w:b w:val="0"/>
                <w:i w:val="0"/>
                <w:color w:val="1F2937"/>
                <w:sz w:val="18"/>
              </w:rPr>
              <w:t>Standard</w:t>
            </w:r>
          </w:p>
        </w:tc>
        <w:tc>
          <w:tcPr>
            <w:tcW w:type="dxa" w:w="2050"/>
            <w:tcMar>
              <w:top w:w="80" w:type="dxa"/>
              <w:start w:w="115" w:type="dxa"/>
              <w:bottom w:w="80" w:type="dxa"/>
              <w:end w:w="115" w:type="dxa"/>
            </w:tcMar>
          </w:tcPr>
          <w:p>
            <w:pPr>
              <w:spacing w:before="0" w:after="0" w:line="252" w:lineRule="auto"/>
              <w:jc w:val="left"/>
            </w:pPr>
            <w:r/>
            <w:r>
              <w:rPr>
                <w:rFonts w:ascii="Arial" w:hAnsi="Arial"/>
                <w:b w:val="0"/>
                <w:i w:val="0"/>
                <w:color w:val="1F2937"/>
                <w:sz w:val="18"/>
              </w:rPr>
              <w:t>9 of 9 readable</w:t>
            </w:r>
          </w:p>
        </w:tc>
        <w:tc>
          <w:tcPr>
            <w:tcW w:type="dxa" w:w="2050"/>
            <w:tcMar>
              <w:top w:w="80" w:type="dxa"/>
              <w:start w:w="115" w:type="dxa"/>
              <w:bottom w:w="80" w:type="dxa"/>
              <w:end w:w="115" w:type="dxa"/>
            </w:tcMar>
          </w:tcPr>
          <w:p>
            <w:pPr>
              <w:spacing w:before="0" w:after="0" w:line="252" w:lineRule="auto"/>
              <w:jc w:val="left"/>
            </w:pPr>
            <w:r/>
            <w:r>
              <w:rPr>
                <w:rFonts w:ascii="Arial" w:hAnsi="Arial"/>
                <w:b w:val="0"/>
                <w:i w:val="0"/>
                <w:color w:val="1F2937"/>
                <w:sz w:val="18"/>
              </w:rPr>
              <w:t>9 of 9 editable</w:t>
            </w:r>
          </w:p>
        </w:tc>
        <w:tc>
          <w:tcPr>
            <w:tcW w:type="dxa" w:w="2170"/>
            <w:shd w:fill="E7F5F1"/>
            <w:tcMar>
              <w:top w:w="80" w:type="dxa"/>
              <w:start w:w="115" w:type="dxa"/>
              <w:bottom w:w="80" w:type="dxa"/>
              <w:end w:w="115" w:type="dxa"/>
            </w:tcMar>
          </w:tcPr>
          <w:p>
            <w:pPr>
              <w:spacing w:before="0" w:after="0" w:line="252" w:lineRule="auto"/>
              <w:jc w:val="center"/>
            </w:pPr>
            <w:r/>
            <w:r>
              <w:rPr>
                <w:rFonts w:ascii="Arial" w:hAnsi="Arial"/>
                <w:b/>
                <w:i w:val="0"/>
                <w:color w:val="16836B"/>
                <w:sz w:val="19"/>
              </w:rPr>
              <w:t>Pass</w:t>
            </w:r>
          </w:p>
        </w:tc>
      </w:tr>
      <w:tr>
        <w:tc>
          <w:tcPr>
            <w:tcW w:type="dxa" w:w="3250"/>
            <w:tcMar>
              <w:top w:w="80" w:type="dxa"/>
              <w:start w:w="115" w:type="dxa"/>
              <w:bottom w:w="80" w:type="dxa"/>
              <w:end w:w="115" w:type="dxa"/>
            </w:tcMar>
          </w:tcPr>
          <w:p>
            <w:pPr>
              <w:spacing w:before="0" w:after="0" w:line="252" w:lineRule="auto"/>
              <w:jc w:val="left"/>
            </w:pPr>
            <w:r/>
            <w:r>
              <w:rPr>
                <w:rFonts w:ascii="Arial" w:hAnsi="Arial"/>
                <w:b w:val="0"/>
                <w:i w:val="0"/>
                <w:color w:val="1F2937"/>
                <w:sz w:val="18"/>
              </w:rPr>
              <w:t>System Administrator - API Only</w:t>
            </w:r>
          </w:p>
        </w:tc>
        <w:tc>
          <w:tcPr>
            <w:tcW w:type="dxa" w:w="2050"/>
            <w:tcMar>
              <w:top w:w="80" w:type="dxa"/>
              <w:start w:w="115" w:type="dxa"/>
              <w:bottom w:w="80" w:type="dxa"/>
              <w:end w:w="115" w:type="dxa"/>
            </w:tcMar>
          </w:tcPr>
          <w:p>
            <w:pPr>
              <w:spacing w:before="0" w:after="0" w:line="252" w:lineRule="auto"/>
              <w:jc w:val="left"/>
            </w:pPr>
            <w:r/>
            <w:r>
              <w:rPr>
                <w:rFonts w:ascii="Arial" w:hAnsi="Arial"/>
                <w:b w:val="0"/>
                <w:i w:val="0"/>
                <w:color w:val="1F2937"/>
                <w:sz w:val="18"/>
              </w:rPr>
              <w:t>9 of 9 readable</w:t>
            </w:r>
          </w:p>
        </w:tc>
        <w:tc>
          <w:tcPr>
            <w:tcW w:type="dxa" w:w="2050"/>
            <w:tcMar>
              <w:top w:w="80" w:type="dxa"/>
              <w:start w:w="115" w:type="dxa"/>
              <w:bottom w:w="80" w:type="dxa"/>
              <w:end w:w="115" w:type="dxa"/>
            </w:tcMar>
          </w:tcPr>
          <w:p>
            <w:pPr>
              <w:spacing w:before="0" w:after="0" w:line="252" w:lineRule="auto"/>
              <w:jc w:val="left"/>
            </w:pPr>
            <w:r/>
            <w:r>
              <w:rPr>
                <w:rFonts w:ascii="Arial" w:hAnsi="Arial"/>
                <w:b w:val="0"/>
                <w:i w:val="0"/>
                <w:color w:val="1F2937"/>
                <w:sz w:val="18"/>
              </w:rPr>
              <w:t>9 of 9 editable</w:t>
            </w:r>
          </w:p>
        </w:tc>
        <w:tc>
          <w:tcPr>
            <w:tcW w:type="dxa" w:w="2170"/>
            <w:shd w:fill="E7F5F1"/>
            <w:tcMar>
              <w:top w:w="80" w:type="dxa"/>
              <w:start w:w="115" w:type="dxa"/>
              <w:bottom w:w="80" w:type="dxa"/>
              <w:end w:w="115" w:type="dxa"/>
            </w:tcMar>
          </w:tcPr>
          <w:p>
            <w:pPr>
              <w:spacing w:before="0" w:after="0" w:line="252" w:lineRule="auto"/>
              <w:jc w:val="center"/>
            </w:pPr>
            <w:r/>
            <w:r>
              <w:rPr>
                <w:rFonts w:ascii="Arial" w:hAnsi="Arial"/>
                <w:b/>
                <w:i w:val="0"/>
                <w:color w:val="16836B"/>
                <w:sz w:val="19"/>
              </w:rPr>
              <w:t>Pass</w:t>
            </w:r>
          </w:p>
        </w:tc>
      </w:tr>
    </w:tbl>
    <w:p>
      <w:pPr>
        <w:spacing w:after="20"/>
      </w:pPr>
    </w:p>
    <w:p>
      <w:pPr>
        <w:spacing w:after="80" w:line="264" w:lineRule="auto"/>
      </w:pPr>
      <w:r>
        <w:rPr>
          <w:rFonts w:ascii="Arial" w:hAnsi="Arial"/>
          <w:b w:val="0"/>
          <w:i w:val="0"/>
          <w:color w:val="1F2937"/>
          <w:sz w:val="22"/>
        </w:rPr>
        <w:t>Problem Occurred Date, Problem Reported Date, Repair Date, Resolution Detail, Service Type, Service Address, Subscriber Report, Primary Resolution, and Secondary Resolution were reviewed. Standard Parent Case, Priority, Created Date, and Closed Date are governed through their standard-field and layout behavior rather than custom fieldPermissions entries.</w:t>
      </w:r>
    </w:p>
    <w:p>
      <w:pPr>
        <w:pStyle w:val="Heading2"/>
        <w:keepNext/>
      </w:pPr>
      <w:r>
        <w:t>Access traceability note</w:t>
      </w:r>
    </w:p>
    <w:tbl>
      <w:tblPr>
        <w:tblStyle w:val="TableGrid"/>
        <w:tblW w:type="dxa" w:w="952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00"/>
        <w:gridCol w:w="6920"/>
      </w:tblGrid>
      <w:tr>
        <w:trPr>
          <w:tblHeader w:val="true"/>
        </w:trPr>
        <w:tc>
          <w:tcPr>
            <w:tcW w:type="dxa" w:w="260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Evidence source</w:t>
            </w:r>
          </w:p>
        </w:tc>
        <w:tc>
          <w:tcPr>
            <w:tcW w:type="dxa" w:w="692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Peer review reading</w:t>
            </w:r>
          </w:p>
        </w:tc>
      </w:tr>
      <w:tr>
        <w:tc>
          <w:tcPr>
            <w:tcW w:type="dxa" w:w="2600"/>
            <w:tcMar>
              <w:top w:w="80" w:type="dxa"/>
              <w:start w:w="115" w:type="dxa"/>
              <w:bottom w:w="80" w:type="dxa"/>
              <w:end w:w="115" w:type="dxa"/>
            </w:tcMar>
          </w:tcPr>
          <w:p>
            <w:pPr>
              <w:spacing w:before="0" w:after="0" w:line="252" w:lineRule="auto"/>
              <w:jc w:val="left"/>
            </w:pPr>
            <w:r/>
            <w:r>
              <w:rPr>
                <w:rFonts w:ascii="Arial" w:hAnsi="Arial"/>
                <w:b w:val="0"/>
                <w:i w:val="0"/>
                <w:color w:val="1F2937"/>
                <w:sz w:val="18"/>
              </w:rPr>
              <w:t>Ticket comment</w:t>
            </w:r>
          </w:p>
        </w:tc>
        <w:tc>
          <w:tcPr>
            <w:tcW w:type="dxa" w:w="6920"/>
            <w:tcMar>
              <w:top w:w="80" w:type="dxa"/>
              <w:start w:w="115" w:type="dxa"/>
              <w:bottom w:w="80" w:type="dxa"/>
              <w:end w:w="115" w:type="dxa"/>
            </w:tcMar>
          </w:tcPr>
          <w:p>
            <w:pPr>
              <w:spacing w:before="0" w:after="0" w:line="252" w:lineRule="auto"/>
              <w:jc w:val="left"/>
            </w:pPr>
            <w:r/>
            <w:r>
              <w:rPr>
                <w:rFonts w:ascii="Arial" w:hAnsi="Arial"/>
                <w:b w:val="0"/>
                <w:i w:val="0"/>
                <w:color w:val="1F2937"/>
                <w:sz w:val="18"/>
              </w:rPr>
              <w:t>The branch was updated to include the fields in a permission set.</w:t>
            </w:r>
          </w:p>
        </w:tc>
      </w:tr>
      <w:tr>
        <w:tc>
          <w:tcPr>
            <w:tcW w:type="dxa" w:w="2600"/>
            <w:tcMar>
              <w:top w:w="80" w:type="dxa"/>
              <w:start w:w="115" w:type="dxa"/>
              <w:bottom w:w="80" w:type="dxa"/>
              <w:end w:w="115" w:type="dxa"/>
            </w:tcMar>
          </w:tcPr>
          <w:p>
            <w:pPr>
              <w:spacing w:before="0" w:after="0" w:line="252" w:lineRule="auto"/>
              <w:jc w:val="left"/>
            </w:pPr>
            <w:r/>
            <w:r>
              <w:rPr>
                <w:rFonts w:ascii="Arial" w:hAnsi="Arial"/>
                <w:b w:val="0"/>
                <w:i w:val="0"/>
                <w:color w:val="1F2937"/>
                <w:sz w:val="18"/>
              </w:rPr>
              <w:t>Observed Merge configuration</w:t>
            </w:r>
          </w:p>
        </w:tc>
        <w:tc>
          <w:tcPr>
            <w:tcW w:type="dxa" w:w="6920"/>
            <w:tcMar>
              <w:top w:w="80" w:type="dxa"/>
              <w:start w:w="115" w:type="dxa"/>
              <w:bottom w:w="80" w:type="dxa"/>
              <w:end w:w="115" w:type="dxa"/>
            </w:tcMar>
          </w:tcPr>
          <w:p>
            <w:pPr>
              <w:spacing w:before="0" w:after="0" w:line="252" w:lineRule="auto"/>
              <w:jc w:val="left"/>
            </w:pPr>
            <w:r/>
            <w:r>
              <w:rPr>
                <w:rFonts w:ascii="Arial" w:hAnsi="Arial"/>
                <w:b w:val="0"/>
                <w:i w:val="0"/>
                <w:color w:val="1F2937"/>
                <w:sz w:val="18"/>
              </w:rPr>
              <w:t>The verified access is in profile metadata. No SCC-4273- or Trouble Ticket-named permission set was identified in the current permission-set inventory.</w:t>
            </w:r>
          </w:p>
        </w:tc>
      </w:tr>
      <w:tr>
        <w:tc>
          <w:tcPr>
            <w:tcW w:type="dxa" w:w="2600"/>
            <w:tcMar>
              <w:top w:w="80" w:type="dxa"/>
              <w:start w:w="115" w:type="dxa"/>
              <w:bottom w:w="80" w:type="dxa"/>
              <w:end w:w="115" w:type="dxa"/>
            </w:tcMar>
          </w:tcPr>
          <w:p>
            <w:pPr>
              <w:spacing w:before="0" w:after="0" w:line="252" w:lineRule="auto"/>
              <w:jc w:val="left"/>
            </w:pPr>
            <w:r/>
            <w:r>
              <w:rPr>
                <w:rFonts w:ascii="Arial" w:hAnsi="Arial"/>
                <w:b w:val="0"/>
                <w:i w:val="0"/>
                <w:color w:val="1F2937"/>
                <w:sz w:val="18"/>
              </w:rPr>
              <w:t>Peer review requirement</w:t>
            </w:r>
          </w:p>
        </w:tc>
        <w:tc>
          <w:tcPr>
            <w:tcW w:type="dxa" w:w="6920"/>
            <w:tcMar>
              <w:top w:w="80" w:type="dxa"/>
              <w:start w:w="115" w:type="dxa"/>
              <w:bottom w:w="80" w:type="dxa"/>
              <w:end w:w="115" w:type="dxa"/>
            </w:tcMar>
          </w:tcPr>
          <w:p>
            <w:pPr>
              <w:spacing w:before="0" w:after="0" w:line="252" w:lineRule="auto"/>
              <w:jc w:val="left"/>
            </w:pPr>
            <w:r/>
            <w:r>
              <w:rPr>
                <w:rFonts w:ascii="Arial" w:hAnsi="Arial"/>
                <w:b w:val="0"/>
                <w:i w:val="0"/>
                <w:color w:val="1F2937"/>
                <w:sz w:val="18"/>
              </w:rPr>
              <w:t>Name the actual access component in the ticket and PR inventory so deployment and later audit evidence match the implementation.</w:t>
            </w:r>
          </w:p>
        </w:tc>
      </w:tr>
    </w:tbl>
    <w:p>
      <w:pPr>
        <w:spacing w:after="20"/>
      </w:pPr>
    </w:p>
    <w:p>
      <w:r>
        <w:br w:type="page"/>
      </w:r>
    </w:p>
    <w:p>
      <w:pPr>
        <w:pStyle w:val="Heading1"/>
        <w:keepNext/>
      </w:pPr>
      <w:r>
        <w:t>Picklist and dependency evidence</w:t>
      </w:r>
    </w:p>
    <w:tbl>
      <w:tblPr>
        <w:tblStyle w:val="TableGrid"/>
        <w:tblW w:type="dxa" w:w="952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50"/>
        <w:gridCol w:w="1450"/>
        <w:gridCol w:w="3350"/>
        <w:gridCol w:w="2470"/>
      </w:tblGrid>
      <w:tr>
        <w:trPr>
          <w:tblHeader w:val="true"/>
        </w:trPr>
        <w:tc>
          <w:tcPr>
            <w:tcW w:type="dxa" w:w="225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Control</w:t>
            </w:r>
          </w:p>
        </w:tc>
        <w:tc>
          <w:tcPr>
            <w:tcW w:type="dxa" w:w="145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Observed</w:t>
            </w:r>
          </w:p>
        </w:tc>
        <w:tc>
          <w:tcPr>
            <w:tcW w:type="dxa" w:w="335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Current Merge evidence</w:t>
            </w:r>
          </w:p>
        </w:tc>
        <w:tc>
          <w:tcPr>
            <w:tcW w:type="dxa" w:w="247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Peer review reading</w:t>
            </w:r>
          </w:p>
        </w:tc>
      </w:tr>
      <w:tr>
        <w:tc>
          <w:tcPr>
            <w:tcW w:type="dxa" w:w="2250"/>
            <w:tcMar>
              <w:top w:w="80" w:type="dxa"/>
              <w:start w:w="115" w:type="dxa"/>
              <w:bottom w:w="80" w:type="dxa"/>
              <w:end w:w="115" w:type="dxa"/>
            </w:tcMar>
          </w:tcPr>
          <w:p>
            <w:pPr>
              <w:spacing w:before="0" w:after="0" w:line="252" w:lineRule="auto"/>
              <w:jc w:val="left"/>
            </w:pPr>
            <w:r/>
            <w:r>
              <w:rPr>
                <w:rFonts w:ascii="Arial" w:hAnsi="Arial"/>
                <w:b w:val="0"/>
                <w:i w:val="0"/>
                <w:color w:val="1F2937"/>
                <w:sz w:val="18"/>
              </w:rPr>
              <w:t>Service Type</w:t>
            </w:r>
          </w:p>
        </w:tc>
        <w:tc>
          <w:tcPr>
            <w:tcW w:type="dxa" w:w="1450"/>
            <w:tcMar>
              <w:top w:w="80" w:type="dxa"/>
              <w:start w:w="115" w:type="dxa"/>
              <w:bottom w:w="80" w:type="dxa"/>
              <w:end w:w="115" w:type="dxa"/>
            </w:tcMar>
          </w:tcPr>
          <w:p>
            <w:pPr>
              <w:spacing w:before="0" w:after="0" w:line="252" w:lineRule="auto"/>
              <w:jc w:val="left"/>
            </w:pPr>
            <w:r/>
            <w:r>
              <w:rPr>
                <w:rFonts w:ascii="Arial" w:hAnsi="Arial"/>
                <w:b w:val="0"/>
                <w:i w:val="0"/>
                <w:color w:val="1F2937"/>
                <w:sz w:val="18"/>
              </w:rPr>
              <w:t>7 enabled</w:t>
            </w:r>
          </w:p>
        </w:tc>
        <w:tc>
          <w:tcPr>
            <w:tcW w:type="dxa" w:w="3350"/>
            <w:tcMar>
              <w:top w:w="80" w:type="dxa"/>
              <w:start w:w="115" w:type="dxa"/>
              <w:bottom w:w="80" w:type="dxa"/>
              <w:end w:w="115" w:type="dxa"/>
            </w:tcMar>
          </w:tcPr>
          <w:p>
            <w:pPr>
              <w:spacing w:before="0" w:after="0" w:line="252" w:lineRule="auto"/>
              <w:jc w:val="left"/>
            </w:pPr>
            <w:r/>
            <w:r>
              <w:rPr>
                <w:rFonts w:ascii="Arial" w:hAnsi="Arial"/>
                <w:b w:val="0"/>
                <w:i w:val="0"/>
                <w:color w:val="1F2937"/>
                <w:sz w:val="18"/>
              </w:rPr>
              <w:t>Circuit, Internet, Voice, Video, Wireless, Other, and Locate</w:t>
            </w:r>
          </w:p>
        </w:tc>
        <w:tc>
          <w:tcPr>
            <w:tcW w:type="dxa" w:w="2470"/>
            <w:shd w:fill="E7F5F1"/>
            <w:tcMar>
              <w:top w:w="80" w:type="dxa"/>
              <w:start w:w="115" w:type="dxa"/>
              <w:bottom w:w="80" w:type="dxa"/>
              <w:end w:w="115" w:type="dxa"/>
            </w:tcMar>
          </w:tcPr>
          <w:p>
            <w:pPr>
              <w:spacing w:before="0" w:after="0" w:line="252" w:lineRule="auto"/>
              <w:jc w:val="center"/>
            </w:pPr>
            <w:r/>
            <w:r>
              <w:rPr>
                <w:rFonts w:ascii="Arial" w:hAnsi="Arial"/>
                <w:b/>
                <w:i w:val="0"/>
                <w:color w:val="16836B"/>
                <w:sz w:val="19"/>
              </w:rPr>
              <w:t>Pass for current Merge; no supplied acceptance matrix</w:t>
            </w:r>
          </w:p>
        </w:tc>
      </w:tr>
      <w:tr>
        <w:tc>
          <w:tcPr>
            <w:tcW w:type="dxa" w:w="2250"/>
            <w:tcMar>
              <w:top w:w="80" w:type="dxa"/>
              <w:start w:w="115" w:type="dxa"/>
              <w:bottom w:w="80" w:type="dxa"/>
              <w:end w:w="115" w:type="dxa"/>
            </w:tcMar>
          </w:tcPr>
          <w:p>
            <w:pPr>
              <w:spacing w:before="0" w:after="0" w:line="252" w:lineRule="auto"/>
              <w:jc w:val="left"/>
            </w:pPr>
            <w:r/>
            <w:r>
              <w:rPr>
                <w:rFonts w:ascii="Arial" w:hAnsi="Arial"/>
                <w:b w:val="0"/>
                <w:i w:val="0"/>
                <w:color w:val="1F2937"/>
                <w:sz w:val="18"/>
              </w:rPr>
              <w:t>Subscriber Report</w:t>
            </w:r>
          </w:p>
        </w:tc>
        <w:tc>
          <w:tcPr>
            <w:tcW w:type="dxa" w:w="1450"/>
            <w:tcMar>
              <w:top w:w="80" w:type="dxa"/>
              <w:start w:w="115" w:type="dxa"/>
              <w:bottom w:w="80" w:type="dxa"/>
              <w:end w:w="115" w:type="dxa"/>
            </w:tcMar>
          </w:tcPr>
          <w:p>
            <w:pPr>
              <w:spacing w:before="0" w:after="0" w:line="252" w:lineRule="auto"/>
              <w:jc w:val="left"/>
            </w:pPr>
            <w:r/>
            <w:r>
              <w:rPr>
                <w:rFonts w:ascii="Arial" w:hAnsi="Arial"/>
                <w:b w:val="0"/>
                <w:i w:val="0"/>
                <w:color w:val="1F2937"/>
                <w:sz w:val="18"/>
              </w:rPr>
              <w:t>72 enabled</w:t>
            </w:r>
          </w:p>
        </w:tc>
        <w:tc>
          <w:tcPr>
            <w:tcW w:type="dxa" w:w="3350"/>
            <w:tcMar>
              <w:top w:w="80" w:type="dxa"/>
              <w:start w:w="115" w:type="dxa"/>
              <w:bottom w:w="80" w:type="dxa"/>
              <w:end w:w="115" w:type="dxa"/>
            </w:tcMar>
          </w:tcPr>
          <w:p>
            <w:pPr>
              <w:spacing w:before="0" w:after="0" w:line="252" w:lineRule="auto"/>
              <w:jc w:val="left"/>
            </w:pPr>
            <w:r/>
            <w:r>
              <w:rPr>
                <w:rFonts w:ascii="Arial" w:hAnsi="Arial"/>
                <w:b w:val="0"/>
                <w:i w:val="0"/>
                <w:color w:val="1F2937"/>
                <w:sz w:val="18"/>
              </w:rPr>
              <w:t>64 unique supplied labels plus 8 additional values</w:t>
            </w:r>
          </w:p>
        </w:tc>
        <w:tc>
          <w:tcPr>
            <w:tcW w:type="dxa" w:w="2470"/>
            <w:shd w:fill="FFF6DE"/>
            <w:tcMar>
              <w:top w:w="80" w:type="dxa"/>
              <w:start w:w="115" w:type="dxa"/>
              <w:bottom w:w="80" w:type="dxa"/>
              <w:end w:w="115" w:type="dxa"/>
            </w:tcMar>
          </w:tcPr>
          <w:p>
            <w:pPr>
              <w:spacing w:before="0" w:after="0" w:line="252" w:lineRule="auto"/>
              <w:jc w:val="center"/>
            </w:pPr>
            <w:r/>
            <w:r>
              <w:rPr>
                <w:rFonts w:ascii="Arial" w:hAnsi="Arial"/>
                <w:b/>
                <w:i w:val="0"/>
                <w:color w:val="B7791F"/>
                <w:sz w:val="19"/>
              </w:rPr>
              <w:t>Partial pass - confirm the eight extras</w:t>
            </w:r>
          </w:p>
        </w:tc>
      </w:tr>
      <w:tr>
        <w:tc>
          <w:tcPr>
            <w:tcW w:type="dxa" w:w="2250"/>
            <w:tcMar>
              <w:top w:w="80" w:type="dxa"/>
              <w:start w:w="115" w:type="dxa"/>
              <w:bottom w:w="80" w:type="dxa"/>
              <w:end w:w="115" w:type="dxa"/>
            </w:tcMar>
          </w:tcPr>
          <w:p>
            <w:pPr>
              <w:spacing w:before="0" w:after="0" w:line="252" w:lineRule="auto"/>
              <w:jc w:val="left"/>
            </w:pPr>
            <w:r/>
            <w:r>
              <w:rPr>
                <w:rFonts w:ascii="Arial" w:hAnsi="Arial"/>
                <w:b w:val="0"/>
                <w:i w:val="0"/>
                <w:color w:val="1F2937"/>
                <w:sz w:val="18"/>
              </w:rPr>
              <w:t>Subscriber Report controller</w:t>
            </w:r>
          </w:p>
        </w:tc>
        <w:tc>
          <w:tcPr>
            <w:tcW w:type="dxa" w:w="1450"/>
            <w:tcMar>
              <w:top w:w="80" w:type="dxa"/>
              <w:start w:w="115" w:type="dxa"/>
              <w:bottom w:w="80" w:type="dxa"/>
              <w:end w:w="115" w:type="dxa"/>
            </w:tcMar>
          </w:tcPr>
          <w:p>
            <w:pPr>
              <w:spacing w:before="0" w:after="0" w:line="252" w:lineRule="auto"/>
              <w:jc w:val="left"/>
            </w:pPr>
            <w:r/>
            <w:r>
              <w:rPr>
                <w:rFonts w:ascii="Arial" w:hAnsi="Arial"/>
                <w:b w:val="0"/>
                <w:i w:val="0"/>
                <w:color w:val="1F2937"/>
                <w:sz w:val="18"/>
              </w:rPr>
              <w:t>None</w:t>
            </w:r>
          </w:p>
        </w:tc>
        <w:tc>
          <w:tcPr>
            <w:tcW w:type="dxa" w:w="3350"/>
            <w:tcMar>
              <w:top w:w="80" w:type="dxa"/>
              <w:start w:w="115" w:type="dxa"/>
              <w:bottom w:w="80" w:type="dxa"/>
              <w:end w:w="115" w:type="dxa"/>
            </w:tcMar>
          </w:tcPr>
          <w:p>
            <w:pPr>
              <w:spacing w:before="0" w:after="0" w:line="252" w:lineRule="auto"/>
              <w:jc w:val="left"/>
            </w:pPr>
            <w:r/>
            <w:r>
              <w:rPr>
                <w:rFonts w:ascii="Arial" w:hAnsi="Arial"/>
                <w:b w:val="0"/>
                <w:i w:val="0"/>
                <w:color w:val="1F2937"/>
                <w:sz w:val="18"/>
              </w:rPr>
              <w:t>Not dependent on Service Type</w:t>
            </w:r>
          </w:p>
        </w:tc>
        <w:tc>
          <w:tcPr>
            <w:tcW w:type="dxa" w:w="2470"/>
            <w:shd w:fill="FDECEC"/>
            <w:tcMar>
              <w:top w:w="80" w:type="dxa"/>
              <w:start w:w="115" w:type="dxa"/>
              <w:bottom w:w="80" w:type="dxa"/>
              <w:end w:w="115" w:type="dxa"/>
            </w:tcMar>
          </w:tcPr>
          <w:p>
            <w:pPr>
              <w:spacing w:before="0" w:after="0" w:line="252" w:lineRule="auto"/>
              <w:jc w:val="center"/>
            </w:pPr>
            <w:r/>
            <w:r>
              <w:rPr>
                <w:rFonts w:ascii="Arial" w:hAnsi="Arial"/>
                <w:b/>
                <w:i w:val="0"/>
                <w:color w:val="C53030"/>
                <w:sz w:val="19"/>
              </w:rPr>
              <w:t>Fail if Service Type control is required</w:t>
            </w:r>
          </w:p>
        </w:tc>
      </w:tr>
      <w:tr>
        <w:tc>
          <w:tcPr>
            <w:tcW w:type="dxa" w:w="2250"/>
            <w:tcMar>
              <w:top w:w="80" w:type="dxa"/>
              <w:start w:w="115" w:type="dxa"/>
              <w:bottom w:w="80" w:type="dxa"/>
              <w:end w:w="115" w:type="dxa"/>
            </w:tcMar>
          </w:tcPr>
          <w:p>
            <w:pPr>
              <w:spacing w:before="0" w:after="0" w:line="252" w:lineRule="auto"/>
              <w:jc w:val="left"/>
            </w:pPr>
            <w:r/>
            <w:r>
              <w:rPr>
                <w:rFonts w:ascii="Arial" w:hAnsi="Arial"/>
                <w:b w:val="0"/>
                <w:i w:val="0"/>
                <w:color w:val="1F2937"/>
                <w:sz w:val="18"/>
              </w:rPr>
              <w:t>Primary Resolution global values</w:t>
            </w:r>
          </w:p>
        </w:tc>
        <w:tc>
          <w:tcPr>
            <w:tcW w:type="dxa" w:w="1450"/>
            <w:tcMar>
              <w:top w:w="80" w:type="dxa"/>
              <w:start w:w="115" w:type="dxa"/>
              <w:bottom w:w="80" w:type="dxa"/>
              <w:end w:w="115" w:type="dxa"/>
            </w:tcMar>
          </w:tcPr>
          <w:p>
            <w:pPr>
              <w:spacing w:before="0" w:after="0" w:line="252" w:lineRule="auto"/>
              <w:jc w:val="left"/>
            </w:pPr>
            <w:r/>
            <w:r>
              <w:rPr>
                <w:rFonts w:ascii="Arial" w:hAnsi="Arial"/>
                <w:b w:val="0"/>
                <w:i w:val="0"/>
                <w:color w:val="1F2937"/>
                <w:sz w:val="18"/>
              </w:rPr>
              <w:t>61 unique</w:t>
            </w:r>
          </w:p>
        </w:tc>
        <w:tc>
          <w:tcPr>
            <w:tcW w:type="dxa" w:w="3350"/>
            <w:tcMar>
              <w:top w:w="80" w:type="dxa"/>
              <w:start w:w="115" w:type="dxa"/>
              <w:bottom w:w="80" w:type="dxa"/>
              <w:end w:w="115" w:type="dxa"/>
            </w:tcMar>
          </w:tcPr>
          <w:p>
            <w:pPr>
              <w:spacing w:before="0" w:after="0" w:line="252" w:lineRule="auto"/>
              <w:jc w:val="left"/>
            </w:pPr>
            <w:r/>
            <w:r>
              <w:rPr>
                <w:rFonts w:ascii="Arial" w:hAnsi="Arial"/>
                <w:b w:val="0"/>
                <w:i w:val="0"/>
                <w:color w:val="1F2937"/>
                <w:sz w:val="18"/>
              </w:rPr>
              <w:t>All 61 supplied labels exist globally</w:t>
            </w:r>
          </w:p>
        </w:tc>
        <w:tc>
          <w:tcPr>
            <w:tcW w:type="dxa" w:w="2470"/>
            <w:shd w:fill="E7F5F1"/>
            <w:tcMar>
              <w:top w:w="80" w:type="dxa"/>
              <w:start w:w="115" w:type="dxa"/>
              <w:bottom w:w="80" w:type="dxa"/>
              <w:end w:w="115" w:type="dxa"/>
            </w:tcMar>
          </w:tcPr>
          <w:p>
            <w:pPr>
              <w:spacing w:before="0" w:after="0" w:line="252" w:lineRule="auto"/>
              <w:jc w:val="center"/>
            </w:pPr>
            <w:r/>
            <w:r>
              <w:rPr>
                <w:rFonts w:ascii="Arial" w:hAnsi="Arial"/>
                <w:b/>
                <w:i w:val="0"/>
                <w:color w:val="16836B"/>
                <w:sz w:val="19"/>
              </w:rPr>
              <w:t>Pass at global-value-set level</w:t>
            </w:r>
          </w:p>
        </w:tc>
      </w:tr>
      <w:tr>
        <w:tc>
          <w:tcPr>
            <w:tcW w:type="dxa" w:w="2250"/>
            <w:tcMar>
              <w:top w:w="80" w:type="dxa"/>
              <w:start w:w="115" w:type="dxa"/>
              <w:bottom w:w="80" w:type="dxa"/>
              <w:end w:w="115" w:type="dxa"/>
            </w:tcMar>
          </w:tcPr>
          <w:p>
            <w:pPr>
              <w:spacing w:before="0" w:after="0" w:line="252" w:lineRule="auto"/>
              <w:jc w:val="left"/>
            </w:pPr>
            <w:r/>
            <w:r>
              <w:rPr>
                <w:rFonts w:ascii="Arial" w:hAnsi="Arial"/>
                <w:b w:val="0"/>
                <w:i w:val="0"/>
                <w:color w:val="1F2937"/>
                <w:sz w:val="18"/>
              </w:rPr>
              <w:t>Primary Resolution dependency</w:t>
            </w:r>
          </w:p>
        </w:tc>
        <w:tc>
          <w:tcPr>
            <w:tcW w:type="dxa" w:w="1450"/>
            <w:tcMar>
              <w:top w:w="80" w:type="dxa"/>
              <w:start w:w="115" w:type="dxa"/>
              <w:bottom w:w="80" w:type="dxa"/>
              <w:end w:w="115" w:type="dxa"/>
            </w:tcMar>
          </w:tcPr>
          <w:p>
            <w:pPr>
              <w:spacing w:before="0" w:after="0" w:line="252" w:lineRule="auto"/>
              <w:jc w:val="left"/>
            </w:pPr>
            <w:r/>
            <w:r>
              <w:rPr>
                <w:rFonts w:ascii="Arial" w:hAnsi="Arial"/>
                <w:b w:val="0"/>
                <w:i w:val="0"/>
                <w:color w:val="1F2937"/>
                <w:sz w:val="18"/>
              </w:rPr>
              <w:t>60 mappings</w:t>
            </w:r>
          </w:p>
        </w:tc>
        <w:tc>
          <w:tcPr>
            <w:tcW w:type="dxa" w:w="3350"/>
            <w:tcMar>
              <w:top w:w="80" w:type="dxa"/>
              <w:start w:w="115" w:type="dxa"/>
              <w:bottom w:w="80" w:type="dxa"/>
              <w:end w:w="115" w:type="dxa"/>
            </w:tcMar>
          </w:tcPr>
          <w:p>
            <w:pPr>
              <w:spacing w:before="0" w:after="0" w:line="252" w:lineRule="auto"/>
              <w:jc w:val="left"/>
            </w:pPr>
            <w:r/>
            <w:r>
              <w:rPr>
                <w:rFonts w:ascii="Arial" w:hAnsi="Arial"/>
                <w:b w:val="0"/>
                <w:i w:val="0"/>
                <w:color w:val="1F2937"/>
                <w:sz w:val="18"/>
              </w:rPr>
              <w:t>Controlled by Subscriber Report</w:t>
            </w:r>
          </w:p>
        </w:tc>
        <w:tc>
          <w:tcPr>
            <w:tcW w:type="dxa" w:w="2470"/>
            <w:shd w:fill="FFF6DE"/>
            <w:tcMar>
              <w:top w:w="80" w:type="dxa"/>
              <w:start w:w="115" w:type="dxa"/>
              <w:bottom w:w="80" w:type="dxa"/>
              <w:end w:w="115" w:type="dxa"/>
            </w:tcMar>
          </w:tcPr>
          <w:p>
            <w:pPr>
              <w:spacing w:before="0" w:after="0" w:line="252" w:lineRule="auto"/>
              <w:jc w:val="center"/>
            </w:pPr>
            <w:r/>
            <w:r>
              <w:rPr>
                <w:rFonts w:ascii="Arial" w:hAnsi="Arial"/>
                <w:b/>
                <w:i w:val="0"/>
                <w:color w:val="B7791F"/>
                <w:sz w:val="19"/>
              </w:rPr>
              <w:t>Partial pass - one meaningful value is unmapped</w:t>
            </w:r>
          </w:p>
        </w:tc>
      </w:tr>
      <w:tr>
        <w:tc>
          <w:tcPr>
            <w:tcW w:type="dxa" w:w="2250"/>
            <w:tcMar>
              <w:top w:w="80" w:type="dxa"/>
              <w:start w:w="115" w:type="dxa"/>
              <w:bottom w:w="80" w:type="dxa"/>
              <w:end w:w="115" w:type="dxa"/>
            </w:tcMar>
          </w:tcPr>
          <w:p>
            <w:pPr>
              <w:spacing w:before="0" w:after="0" w:line="252" w:lineRule="auto"/>
              <w:jc w:val="left"/>
            </w:pPr>
            <w:r/>
            <w:r>
              <w:rPr>
                <w:rFonts w:ascii="Arial" w:hAnsi="Arial"/>
                <w:b w:val="0"/>
                <w:i w:val="0"/>
                <w:color w:val="1F2937"/>
                <w:sz w:val="18"/>
              </w:rPr>
              <w:t>Trouble Ticket runtime values</w:t>
            </w:r>
          </w:p>
        </w:tc>
        <w:tc>
          <w:tcPr>
            <w:tcW w:type="dxa" w:w="1450"/>
            <w:tcMar>
              <w:top w:w="80" w:type="dxa"/>
              <w:start w:w="115" w:type="dxa"/>
              <w:bottom w:w="80" w:type="dxa"/>
              <w:end w:w="115" w:type="dxa"/>
            </w:tcMar>
          </w:tcPr>
          <w:p>
            <w:pPr>
              <w:spacing w:before="0" w:after="0" w:line="252" w:lineRule="auto"/>
              <w:jc w:val="left"/>
            </w:pPr>
            <w:r/>
            <w:r>
              <w:rPr>
                <w:rFonts w:ascii="Arial" w:hAnsi="Arial"/>
                <w:b w:val="0"/>
                <w:i w:val="0"/>
                <w:color w:val="1F2937"/>
                <w:sz w:val="18"/>
              </w:rPr>
              <w:t>1 enabled</w:t>
            </w:r>
          </w:p>
        </w:tc>
        <w:tc>
          <w:tcPr>
            <w:tcW w:type="dxa" w:w="3350"/>
            <w:tcMar>
              <w:top w:w="80" w:type="dxa"/>
              <w:start w:w="115" w:type="dxa"/>
              <w:bottom w:w="80" w:type="dxa"/>
              <w:end w:w="115" w:type="dxa"/>
            </w:tcMar>
          </w:tcPr>
          <w:p>
            <w:pPr>
              <w:spacing w:before="0" w:after="0" w:line="252" w:lineRule="auto"/>
              <w:jc w:val="left"/>
            </w:pPr>
            <w:r/>
            <w:r>
              <w:rPr>
                <w:rFonts w:ascii="Arial" w:hAnsi="Arial"/>
                <w:b w:val="0"/>
                <w:i w:val="0"/>
                <w:color w:val="1F2937"/>
                <w:sz w:val="18"/>
              </w:rPr>
              <w:t>Cleared Without Repair only</w:t>
            </w:r>
          </w:p>
        </w:tc>
        <w:tc>
          <w:tcPr>
            <w:tcW w:type="dxa" w:w="2470"/>
            <w:shd w:fill="FDECEC"/>
            <w:tcMar>
              <w:top w:w="80" w:type="dxa"/>
              <w:start w:w="115" w:type="dxa"/>
              <w:bottom w:w="80" w:type="dxa"/>
              <w:end w:w="115" w:type="dxa"/>
            </w:tcMar>
          </w:tcPr>
          <w:p>
            <w:pPr>
              <w:spacing w:before="0" w:after="0" w:line="252" w:lineRule="auto"/>
              <w:jc w:val="center"/>
            </w:pPr>
            <w:r/>
            <w:r>
              <w:rPr>
                <w:rFonts w:ascii="Arial" w:hAnsi="Arial"/>
                <w:b/>
                <w:i w:val="0"/>
                <w:color w:val="C53030"/>
                <w:sz w:val="19"/>
              </w:rPr>
              <w:t>Fail - record type blocks the supplied list</w:t>
            </w:r>
          </w:p>
        </w:tc>
      </w:tr>
    </w:tbl>
    <w:p>
      <w:pPr>
        <w:spacing w:after="20"/>
      </w:pPr>
    </w:p>
    <w:p>
      <w:pPr>
        <w:pStyle w:val="Heading2"/>
        <w:keepNext/>
      </w:pPr>
      <w:r>
        <w:t>Value reconciliation</w:t>
      </w:r>
    </w:p>
    <w:tbl>
      <w:tblPr>
        <w:tblStyle w:val="TableGrid"/>
        <w:tblW w:type="dxa" w:w="952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00"/>
        <w:gridCol w:w="2450"/>
        <w:gridCol w:w="4470"/>
      </w:tblGrid>
      <w:tr>
        <w:trPr>
          <w:tblHeader w:val="true"/>
        </w:trPr>
        <w:tc>
          <w:tcPr>
            <w:tcW w:type="dxa" w:w="260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Check</w:t>
            </w:r>
          </w:p>
        </w:tc>
        <w:tc>
          <w:tcPr>
            <w:tcW w:type="dxa" w:w="245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Observed</w:t>
            </w:r>
          </w:p>
        </w:tc>
        <w:tc>
          <w:tcPr>
            <w:tcW w:type="dxa" w:w="447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Required reading</w:t>
            </w:r>
          </w:p>
        </w:tc>
      </w:tr>
      <w:tr>
        <w:tc>
          <w:tcPr>
            <w:tcW w:type="dxa" w:w="2600"/>
            <w:tcMar>
              <w:top w:w="80" w:type="dxa"/>
              <w:start w:w="115" w:type="dxa"/>
              <w:bottom w:w="80" w:type="dxa"/>
              <w:end w:w="115" w:type="dxa"/>
            </w:tcMar>
          </w:tcPr>
          <w:p>
            <w:pPr>
              <w:spacing w:before="0" w:after="0" w:line="252" w:lineRule="auto"/>
              <w:jc w:val="left"/>
            </w:pPr>
            <w:r/>
            <w:r>
              <w:rPr>
                <w:rFonts w:ascii="Arial" w:hAnsi="Arial"/>
                <w:b w:val="0"/>
                <w:i w:val="0"/>
                <w:color w:val="1F2937"/>
                <w:sz w:val="18"/>
              </w:rPr>
              <w:t>Supplied Subscriber Report list</w:t>
            </w:r>
          </w:p>
        </w:tc>
        <w:tc>
          <w:tcPr>
            <w:tcW w:type="dxa" w:w="2450"/>
            <w:tcMar>
              <w:top w:w="80" w:type="dxa"/>
              <w:start w:w="115" w:type="dxa"/>
              <w:bottom w:w="80" w:type="dxa"/>
              <w:end w:w="115" w:type="dxa"/>
            </w:tcMar>
          </w:tcPr>
          <w:p>
            <w:pPr>
              <w:spacing w:before="0" w:after="0" w:line="252" w:lineRule="auto"/>
              <w:jc w:val="left"/>
            </w:pPr>
            <w:r/>
            <w:r>
              <w:rPr>
                <w:rFonts w:ascii="Arial" w:hAnsi="Arial"/>
                <w:b w:val="0"/>
                <w:i w:val="0"/>
                <w:color w:val="1F2937"/>
                <w:sz w:val="18"/>
              </w:rPr>
              <w:t>70 entries; 64 unique</w:t>
            </w:r>
          </w:p>
        </w:tc>
        <w:tc>
          <w:tcPr>
            <w:tcW w:type="dxa" w:w="4470"/>
            <w:tcMar>
              <w:top w:w="80" w:type="dxa"/>
              <w:start w:w="115" w:type="dxa"/>
              <w:bottom w:w="80" w:type="dxa"/>
              <w:end w:w="115" w:type="dxa"/>
            </w:tcMar>
          </w:tcPr>
          <w:p>
            <w:pPr>
              <w:spacing w:before="0" w:after="0" w:line="252" w:lineRule="auto"/>
              <w:jc w:val="left"/>
            </w:pPr>
            <w:r/>
            <w:r>
              <w:rPr>
                <w:rFonts w:ascii="Arial" w:hAnsi="Arial"/>
                <w:b w:val="0"/>
                <w:i w:val="0"/>
                <w:color w:val="1F2937"/>
                <w:sz w:val="18"/>
              </w:rPr>
              <w:t>All 64 unique labels are present and enabled for Trouble Ticket.</w:t>
            </w:r>
          </w:p>
        </w:tc>
      </w:tr>
      <w:tr>
        <w:tc>
          <w:tcPr>
            <w:tcW w:type="dxa" w:w="2600"/>
            <w:tcMar>
              <w:top w:w="80" w:type="dxa"/>
              <w:start w:w="115" w:type="dxa"/>
              <w:bottom w:w="80" w:type="dxa"/>
              <w:end w:w="115" w:type="dxa"/>
            </w:tcMar>
          </w:tcPr>
          <w:p>
            <w:pPr>
              <w:spacing w:before="0" w:after="0" w:line="252" w:lineRule="auto"/>
              <w:jc w:val="left"/>
            </w:pPr>
            <w:r/>
            <w:r>
              <w:rPr>
                <w:rFonts w:ascii="Arial" w:hAnsi="Arial"/>
                <w:b w:val="0"/>
                <w:i w:val="0"/>
                <w:color w:val="1F2937"/>
                <w:sz w:val="18"/>
              </w:rPr>
              <w:t>Duplicate supplied reports</w:t>
            </w:r>
          </w:p>
        </w:tc>
        <w:tc>
          <w:tcPr>
            <w:tcW w:type="dxa" w:w="2450"/>
            <w:tcMar>
              <w:top w:w="80" w:type="dxa"/>
              <w:start w:w="115" w:type="dxa"/>
              <w:bottom w:w="80" w:type="dxa"/>
              <w:end w:w="115" w:type="dxa"/>
            </w:tcMar>
          </w:tcPr>
          <w:p>
            <w:pPr>
              <w:spacing w:before="0" w:after="0" w:line="252" w:lineRule="auto"/>
              <w:jc w:val="left"/>
            </w:pPr>
            <w:r/>
            <w:r>
              <w:rPr>
                <w:rFonts w:ascii="Arial" w:hAnsi="Arial"/>
                <w:b w:val="0"/>
                <w:i w:val="0"/>
                <w:color w:val="1F2937"/>
                <w:sz w:val="18"/>
              </w:rPr>
              <w:t>6 repeated labels</w:t>
            </w:r>
          </w:p>
        </w:tc>
        <w:tc>
          <w:tcPr>
            <w:tcW w:type="dxa" w:w="4470"/>
            <w:tcMar>
              <w:top w:w="80" w:type="dxa"/>
              <w:start w:w="115" w:type="dxa"/>
              <w:bottom w:w="80" w:type="dxa"/>
              <w:end w:w="115" w:type="dxa"/>
            </w:tcMar>
          </w:tcPr>
          <w:p>
            <w:pPr>
              <w:spacing w:before="0" w:after="0" w:line="252" w:lineRule="auto"/>
              <w:jc w:val="left"/>
            </w:pPr>
            <w:r/>
            <w:r>
              <w:rPr>
                <w:rFonts w:ascii="Arial" w:hAnsi="Arial"/>
                <w:b w:val="0"/>
                <w:i w:val="0"/>
                <w:color w:val="1F2937"/>
                <w:sz w:val="18"/>
              </w:rPr>
              <w:t>CUT CABLE OR DROP, CAN'T CONNECT, OUTAGE, ALL SERVICES OUT, and DAMAGE CLAIM repeat; ALL SERVICES OUT appears three times.</w:t>
            </w:r>
          </w:p>
        </w:tc>
      </w:tr>
      <w:tr>
        <w:tc>
          <w:tcPr>
            <w:tcW w:type="dxa" w:w="2600"/>
            <w:tcMar>
              <w:top w:w="80" w:type="dxa"/>
              <w:start w:w="115" w:type="dxa"/>
              <w:bottom w:w="80" w:type="dxa"/>
              <w:end w:w="115" w:type="dxa"/>
            </w:tcMar>
          </w:tcPr>
          <w:p>
            <w:pPr>
              <w:spacing w:before="0" w:after="0" w:line="252" w:lineRule="auto"/>
              <w:jc w:val="left"/>
            </w:pPr>
            <w:r/>
            <w:r>
              <w:rPr>
                <w:rFonts w:ascii="Arial" w:hAnsi="Arial"/>
                <w:b w:val="0"/>
                <w:i w:val="0"/>
                <w:color w:val="1F2937"/>
                <w:sz w:val="18"/>
              </w:rPr>
              <w:t>Additional enabled reports</w:t>
            </w:r>
          </w:p>
        </w:tc>
        <w:tc>
          <w:tcPr>
            <w:tcW w:type="dxa" w:w="2450"/>
            <w:tcMar>
              <w:top w:w="80" w:type="dxa"/>
              <w:start w:w="115" w:type="dxa"/>
              <w:bottom w:w="80" w:type="dxa"/>
              <w:end w:w="115" w:type="dxa"/>
            </w:tcMar>
          </w:tcPr>
          <w:p>
            <w:pPr>
              <w:spacing w:before="0" w:after="0" w:line="252" w:lineRule="auto"/>
              <w:jc w:val="left"/>
            </w:pPr>
            <w:r/>
            <w:r>
              <w:rPr>
                <w:rFonts w:ascii="Arial" w:hAnsi="Arial"/>
                <w:b w:val="0"/>
                <w:i w:val="0"/>
                <w:color w:val="1F2937"/>
                <w:sz w:val="18"/>
              </w:rPr>
              <w:t>8 values</w:t>
            </w:r>
          </w:p>
        </w:tc>
        <w:tc>
          <w:tcPr>
            <w:tcW w:type="dxa" w:w="4470"/>
            <w:tcMar>
              <w:top w:w="80" w:type="dxa"/>
              <w:start w:w="115" w:type="dxa"/>
              <w:bottom w:w="80" w:type="dxa"/>
              <w:end w:w="115" w:type="dxa"/>
            </w:tcMar>
          </w:tcPr>
          <w:p>
            <w:pPr>
              <w:spacing w:before="0" w:after="0" w:line="252" w:lineRule="auto"/>
              <w:jc w:val="left"/>
            </w:pPr>
            <w:r/>
            <w:r>
              <w:rPr>
                <w:rFonts w:ascii="Arial" w:hAnsi="Arial"/>
                <w:b w:val="0"/>
                <w:i w:val="0"/>
                <w:color w:val="1F2937"/>
                <w:sz w:val="18"/>
              </w:rPr>
              <w:t>All Plume Related Sub Reports; Analog Channels Out of Service; Channel Buffering; Channels Out; Fixed Wireless Trbl; GPC Declared Outage; Hosted-Features; Referred to NOC/UC.</w:t>
            </w:r>
          </w:p>
        </w:tc>
      </w:tr>
      <w:tr>
        <w:tc>
          <w:tcPr>
            <w:tcW w:type="dxa" w:w="2600"/>
            <w:tcMar>
              <w:top w:w="80" w:type="dxa"/>
              <w:start w:w="115" w:type="dxa"/>
              <w:bottom w:w="80" w:type="dxa"/>
              <w:end w:w="115" w:type="dxa"/>
            </w:tcMar>
          </w:tcPr>
          <w:p>
            <w:pPr>
              <w:spacing w:before="0" w:after="0" w:line="252" w:lineRule="auto"/>
              <w:jc w:val="left"/>
            </w:pPr>
            <w:r/>
            <w:r>
              <w:rPr>
                <w:rFonts w:ascii="Arial" w:hAnsi="Arial"/>
                <w:b w:val="0"/>
                <w:i w:val="0"/>
                <w:color w:val="1F2937"/>
                <w:sz w:val="18"/>
              </w:rPr>
              <w:t>Unmapped meaningful resolution</w:t>
            </w:r>
          </w:p>
        </w:tc>
        <w:tc>
          <w:tcPr>
            <w:tcW w:type="dxa" w:w="2450"/>
            <w:tcMar>
              <w:top w:w="80" w:type="dxa"/>
              <w:start w:w="115" w:type="dxa"/>
              <w:bottom w:w="80" w:type="dxa"/>
              <w:end w:w="115" w:type="dxa"/>
            </w:tcMar>
          </w:tcPr>
          <w:p>
            <w:pPr>
              <w:spacing w:before="0" w:after="0" w:line="252" w:lineRule="auto"/>
              <w:jc w:val="left"/>
            </w:pPr>
            <w:r/>
            <w:r>
              <w:rPr>
                <w:rFonts w:ascii="Arial" w:hAnsi="Arial"/>
                <w:b w:val="0"/>
                <w:i w:val="0"/>
                <w:color w:val="1F2937"/>
                <w:sz w:val="18"/>
              </w:rPr>
              <w:t>Fiber Splicing Completed</w:t>
            </w:r>
          </w:p>
        </w:tc>
        <w:tc>
          <w:tcPr>
            <w:tcW w:type="dxa" w:w="4470"/>
            <w:tcMar>
              <w:top w:w="80" w:type="dxa"/>
              <w:start w:w="115" w:type="dxa"/>
              <w:bottom w:w="80" w:type="dxa"/>
              <w:end w:w="115" w:type="dxa"/>
            </w:tcMar>
          </w:tcPr>
          <w:p>
            <w:pPr>
              <w:spacing w:before="0" w:after="0" w:line="252" w:lineRule="auto"/>
              <w:jc w:val="left"/>
            </w:pPr>
            <w:r/>
            <w:r>
              <w:rPr>
                <w:rFonts w:ascii="Arial" w:hAnsi="Arial"/>
                <w:b w:val="0"/>
                <w:i w:val="0"/>
                <w:color w:val="1F2937"/>
                <w:sz w:val="18"/>
              </w:rPr>
              <w:t>Present globally but absent from the 60 Primary Resolution dependency mappings.</w:t>
            </w:r>
          </w:p>
        </w:tc>
      </w:tr>
      <w:tr>
        <w:tc>
          <w:tcPr>
            <w:tcW w:type="dxa" w:w="2600"/>
            <w:tcMar>
              <w:top w:w="80" w:type="dxa"/>
              <w:start w:w="115" w:type="dxa"/>
              <w:bottom w:w="80" w:type="dxa"/>
              <w:end w:w="115" w:type="dxa"/>
            </w:tcMar>
          </w:tcPr>
          <w:p>
            <w:pPr>
              <w:spacing w:before="0" w:after="0" w:line="252" w:lineRule="auto"/>
              <w:jc w:val="left"/>
            </w:pPr>
            <w:r/>
            <w:r>
              <w:rPr>
                <w:rFonts w:ascii="Arial" w:hAnsi="Arial"/>
                <w:b w:val="0"/>
                <w:i w:val="0"/>
                <w:color w:val="1F2937"/>
                <w:sz w:val="18"/>
              </w:rPr>
              <w:t>Duplicate-format global values</w:t>
            </w:r>
          </w:p>
        </w:tc>
        <w:tc>
          <w:tcPr>
            <w:tcW w:type="dxa" w:w="2450"/>
            <w:tcMar>
              <w:top w:w="80" w:type="dxa"/>
              <w:start w:w="115" w:type="dxa"/>
              <w:bottom w:w="80" w:type="dxa"/>
              <w:end w:w="115" w:type="dxa"/>
            </w:tcMar>
          </w:tcPr>
          <w:p>
            <w:pPr>
              <w:spacing w:before="0" w:after="0" w:line="252" w:lineRule="auto"/>
              <w:jc w:val="left"/>
            </w:pPr>
            <w:r/>
            <w:r>
              <w:rPr>
                <w:rFonts w:ascii="Arial" w:hAnsi="Arial"/>
                <w:b w:val="0"/>
                <w:i w:val="0"/>
                <w:color w:val="1F2937"/>
                <w:sz w:val="18"/>
              </w:rPr>
              <w:t>3 semantic duplicates</w:t>
            </w:r>
          </w:p>
        </w:tc>
        <w:tc>
          <w:tcPr>
            <w:tcW w:type="dxa" w:w="4470"/>
            <w:tcMar>
              <w:top w:w="80" w:type="dxa"/>
              <w:start w:w="115" w:type="dxa"/>
              <w:bottom w:w="80" w:type="dxa"/>
              <w:end w:w="115" w:type="dxa"/>
            </w:tcMar>
          </w:tcPr>
          <w:p>
            <w:pPr>
              <w:spacing w:before="0" w:after="0" w:line="252" w:lineRule="auto"/>
              <w:jc w:val="left"/>
            </w:pPr>
            <w:r/>
            <w:r>
              <w:rPr>
                <w:rFonts w:ascii="Arial" w:hAnsi="Arial"/>
                <w:b w:val="0"/>
                <w:i w:val="0"/>
                <w:color w:val="1F2937"/>
                <w:sz w:val="18"/>
              </w:rPr>
              <w:t>Clear - Trip / CLEAR- TRIP; Cust Caused - No Chg / CUST CAUSED- NO CHG; Cust Caused - Trip Chg / CUST CAUSED- TRIP CHG.</w:t>
            </w:r>
          </w:p>
        </w:tc>
      </w:tr>
    </w:tbl>
    <w:p>
      <w:pPr>
        <w:spacing w:after="20"/>
      </w:pPr>
    </w:p>
    <w:p>
      <w:pPr>
        <w:spacing w:before="60" w:after="160" w:line="252" w:lineRule="auto"/>
      </w:pPr>
      <w:r>
        <w:rPr>
          <w:rFonts w:ascii="Arial" w:hAnsi="Arial"/>
          <w:b/>
          <w:i w:val="0"/>
          <w:color w:val="0B2545"/>
          <w:sz w:val="21"/>
        </w:rPr>
        <w:t xml:space="preserve">Root cause  </w:t>
      </w:r>
      <w:r>
        <w:rPr>
          <w:rFonts w:ascii="Arial" w:hAnsi="Arial"/>
          <w:b w:val="0"/>
          <w:i w:val="0"/>
          <w:color w:val="1F2937"/>
          <w:sz w:val="21"/>
        </w:rPr>
        <w:t>The principal runtime defect is record-type value enablement: UI API evidence for Trouble Ticket returns one Primary Resolution, regardless of the broader global value set and dependency metadata.</w:t>
      </w:r>
    </w:p>
    <w:p>
      <w:r>
        <w:br w:type="page"/>
      </w:r>
    </w:p>
    <w:p>
      <w:pPr>
        <w:pStyle w:val="Heading1"/>
        <w:keepNext/>
      </w:pPr>
      <w:r>
        <w:t>PR and evidence boundary</w:t>
      </w:r>
    </w:p>
    <w:tbl>
      <w:tblPr>
        <w:tblStyle w:val="TableGrid"/>
        <w:tblW w:type="dxa" w:w="952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50"/>
        <w:gridCol w:w="1650"/>
        <w:gridCol w:w="5620"/>
      </w:tblGrid>
      <w:tr>
        <w:trPr>
          <w:tblHeader w:val="true"/>
        </w:trPr>
        <w:tc>
          <w:tcPr>
            <w:tcW w:type="dxa" w:w="225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Boundary</w:t>
            </w:r>
          </w:p>
        </w:tc>
        <w:tc>
          <w:tcPr>
            <w:tcW w:type="dxa" w:w="165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Status</w:t>
            </w:r>
          </w:p>
        </w:tc>
        <w:tc>
          <w:tcPr>
            <w:tcW w:type="dxa" w:w="562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Evidence and limitation</w:t>
            </w:r>
          </w:p>
        </w:tc>
      </w:tr>
      <w:tr>
        <w:tc>
          <w:tcPr>
            <w:tcW w:type="dxa" w:w="2250"/>
            <w:tcMar>
              <w:top w:w="80" w:type="dxa"/>
              <w:start w:w="115" w:type="dxa"/>
              <w:bottom w:w="80" w:type="dxa"/>
              <w:end w:w="115" w:type="dxa"/>
            </w:tcMar>
          </w:tcPr>
          <w:p>
            <w:pPr>
              <w:spacing w:before="0" w:after="0" w:line="252" w:lineRule="auto"/>
              <w:jc w:val="left"/>
            </w:pPr>
            <w:r/>
            <w:r>
              <w:rPr>
                <w:rFonts w:ascii="Arial" w:hAnsi="Arial"/>
                <w:b w:val="0"/>
                <w:i w:val="0"/>
                <w:color w:val="1F2937"/>
                <w:sz w:val="18"/>
              </w:rPr>
              <w:t>Attached source</w:t>
            </w:r>
          </w:p>
        </w:tc>
        <w:tc>
          <w:tcPr>
            <w:tcW w:type="dxa" w:w="1650"/>
            <w:shd w:fill="FFF6DE"/>
            <w:tcMar>
              <w:top w:w="80" w:type="dxa"/>
              <w:start w:w="115" w:type="dxa"/>
              <w:bottom w:w="80" w:type="dxa"/>
              <w:end w:w="115" w:type="dxa"/>
            </w:tcMar>
          </w:tcPr>
          <w:p>
            <w:pPr>
              <w:spacing w:before="0" w:after="0" w:line="252" w:lineRule="auto"/>
              <w:jc w:val="center"/>
            </w:pPr>
            <w:r/>
            <w:r>
              <w:rPr>
                <w:rFonts w:ascii="Arial" w:hAnsi="Arial"/>
                <w:b/>
                <w:i w:val="0"/>
                <w:color w:val="B7791F"/>
                <w:sz w:val="19"/>
              </w:rPr>
              <w:t>Reviewed</w:t>
            </w:r>
          </w:p>
        </w:tc>
        <w:tc>
          <w:tcPr>
            <w:tcW w:type="dxa" w:w="5620"/>
            <w:tcMar>
              <w:top w:w="80" w:type="dxa"/>
              <w:start w:w="115" w:type="dxa"/>
              <w:bottom w:w="80" w:type="dxa"/>
              <w:end w:w="115" w:type="dxa"/>
            </w:tcMar>
          </w:tcPr>
          <w:p>
            <w:pPr>
              <w:spacing w:before="0" w:after="0" w:line="252" w:lineRule="auto"/>
              <w:jc w:val="left"/>
            </w:pPr>
            <w:r/>
            <w:r>
              <w:rPr>
                <w:rFonts w:ascii="Arial" w:hAnsi="Arial"/>
                <w:b w:val="0"/>
                <w:i w:val="0"/>
                <w:color w:val="1F2937"/>
                <w:sz w:val="18"/>
              </w:rPr>
              <w:t>The supplied SCC-4273 export and its screenshots were treated as ticket evidence, not as authorization to change Salesforce.</w:t>
            </w:r>
          </w:p>
        </w:tc>
      </w:tr>
      <w:tr>
        <w:tc>
          <w:tcPr>
            <w:tcW w:type="dxa" w:w="2250"/>
            <w:tcMar>
              <w:top w:w="80" w:type="dxa"/>
              <w:start w:w="115" w:type="dxa"/>
              <w:bottom w:w="80" w:type="dxa"/>
              <w:end w:w="115" w:type="dxa"/>
            </w:tcMar>
          </w:tcPr>
          <w:p>
            <w:pPr>
              <w:spacing w:before="0" w:after="0" w:line="252" w:lineRule="auto"/>
              <w:jc w:val="left"/>
            </w:pPr>
            <w:r/>
            <w:r>
              <w:rPr>
                <w:rFonts w:ascii="Arial" w:hAnsi="Arial"/>
                <w:b w:val="0"/>
                <w:i w:val="0"/>
                <w:color w:val="1F2937"/>
                <w:sz w:val="18"/>
              </w:rPr>
              <w:t>Merge sandbox</w:t>
            </w:r>
          </w:p>
        </w:tc>
        <w:tc>
          <w:tcPr>
            <w:tcW w:type="dxa" w:w="1650"/>
            <w:shd w:fill="FFF6DE"/>
            <w:tcMar>
              <w:top w:w="80" w:type="dxa"/>
              <w:start w:w="115" w:type="dxa"/>
              <w:bottom w:w="80" w:type="dxa"/>
              <w:end w:w="115" w:type="dxa"/>
            </w:tcMar>
          </w:tcPr>
          <w:p>
            <w:pPr>
              <w:spacing w:before="0" w:after="0" w:line="252" w:lineRule="auto"/>
              <w:jc w:val="center"/>
            </w:pPr>
            <w:r/>
            <w:r>
              <w:rPr>
                <w:rFonts w:ascii="Arial" w:hAnsi="Arial"/>
                <w:b/>
                <w:i w:val="0"/>
                <w:color w:val="B7791F"/>
                <w:sz w:val="19"/>
              </w:rPr>
              <w:t>Verified</w:t>
            </w:r>
          </w:p>
        </w:tc>
        <w:tc>
          <w:tcPr>
            <w:tcW w:type="dxa" w:w="5620"/>
            <w:tcMar>
              <w:top w:w="80" w:type="dxa"/>
              <w:start w:w="115" w:type="dxa"/>
              <w:bottom w:w="80" w:type="dxa"/>
              <w:end w:w="115" w:type="dxa"/>
            </w:tcMar>
          </w:tcPr>
          <w:p>
            <w:pPr>
              <w:spacing w:before="0" w:after="0" w:line="252" w:lineRule="auto"/>
              <w:jc w:val="left"/>
            </w:pPr>
            <w:r/>
            <w:r>
              <w:rPr>
                <w:rFonts w:ascii="Arial" w:hAnsi="Arial"/>
                <w:b w:val="0"/>
                <w:i w:val="0"/>
                <w:color w:val="1F2937"/>
                <w:sz w:val="18"/>
              </w:rPr>
              <w:t>Organization identity, Case schema, record type, layout, three profiles, global value set, and record-type UI picklists were checked read-only.</w:t>
            </w:r>
          </w:p>
        </w:tc>
      </w:tr>
      <w:tr>
        <w:tc>
          <w:tcPr>
            <w:tcW w:type="dxa" w:w="2250"/>
            <w:tcMar>
              <w:top w:w="80" w:type="dxa"/>
              <w:start w:w="115" w:type="dxa"/>
              <w:bottom w:w="80" w:type="dxa"/>
              <w:end w:w="115" w:type="dxa"/>
            </w:tcMar>
          </w:tcPr>
          <w:p>
            <w:pPr>
              <w:spacing w:before="0" w:after="0" w:line="252" w:lineRule="auto"/>
              <w:jc w:val="left"/>
            </w:pPr>
            <w:r/>
            <w:r>
              <w:rPr>
                <w:rFonts w:ascii="Arial" w:hAnsi="Arial"/>
                <w:b w:val="0"/>
                <w:i w:val="0"/>
                <w:color w:val="1F2937"/>
                <w:sz w:val="18"/>
              </w:rPr>
              <w:t>Git pull request</w:t>
            </w:r>
          </w:p>
        </w:tc>
        <w:tc>
          <w:tcPr>
            <w:tcW w:type="dxa" w:w="1650"/>
            <w:shd w:fill="FFF6DE"/>
            <w:tcMar>
              <w:top w:w="80" w:type="dxa"/>
              <w:start w:w="115" w:type="dxa"/>
              <w:bottom w:w="80" w:type="dxa"/>
              <w:end w:w="115" w:type="dxa"/>
            </w:tcMar>
          </w:tcPr>
          <w:p>
            <w:pPr>
              <w:spacing w:before="0" w:after="0" w:line="252" w:lineRule="auto"/>
              <w:jc w:val="center"/>
            </w:pPr>
            <w:r/>
            <w:r>
              <w:rPr>
                <w:rFonts w:ascii="Arial" w:hAnsi="Arial"/>
                <w:b/>
                <w:i w:val="0"/>
                <w:color w:val="B7791F"/>
                <w:sz w:val="19"/>
              </w:rPr>
              <w:t>Not supplied</w:t>
            </w:r>
          </w:p>
        </w:tc>
        <w:tc>
          <w:tcPr>
            <w:tcW w:type="dxa" w:w="5620"/>
            <w:tcMar>
              <w:top w:w="80" w:type="dxa"/>
              <w:start w:w="115" w:type="dxa"/>
              <w:bottom w:w="80" w:type="dxa"/>
              <w:end w:w="115" w:type="dxa"/>
            </w:tcMar>
          </w:tcPr>
          <w:p>
            <w:pPr>
              <w:spacing w:before="0" w:after="0" w:line="252" w:lineRule="auto"/>
              <w:jc w:val="left"/>
            </w:pPr>
            <w:r/>
            <w:r>
              <w:rPr>
                <w:rFonts w:ascii="Arial" w:hAnsi="Arial"/>
                <w:b w:val="0"/>
                <w:i w:val="0"/>
                <w:color w:val="1F2937"/>
                <w:sz w:val="18"/>
              </w:rPr>
              <w:t>No PR URL, base branch, head commit, changed-file list, or diff was available. Branch-to-org and branch-to-target parity cannot be approved.</w:t>
            </w:r>
          </w:p>
        </w:tc>
      </w:tr>
      <w:tr>
        <w:tc>
          <w:tcPr>
            <w:tcW w:type="dxa" w:w="2250"/>
            <w:tcMar>
              <w:top w:w="80" w:type="dxa"/>
              <w:start w:w="115" w:type="dxa"/>
              <w:bottom w:w="80" w:type="dxa"/>
              <w:end w:w="115" w:type="dxa"/>
            </w:tcMar>
          </w:tcPr>
          <w:p>
            <w:pPr>
              <w:spacing w:before="0" w:after="0" w:line="252" w:lineRule="auto"/>
              <w:jc w:val="left"/>
            </w:pPr>
            <w:r/>
            <w:r>
              <w:rPr>
                <w:rFonts w:ascii="Arial" w:hAnsi="Arial"/>
                <w:b w:val="0"/>
                <w:i w:val="0"/>
                <w:color w:val="1F2937"/>
                <w:sz w:val="18"/>
              </w:rPr>
              <w:t>Separate API org</w:t>
            </w:r>
          </w:p>
        </w:tc>
        <w:tc>
          <w:tcPr>
            <w:tcW w:type="dxa" w:w="1650"/>
            <w:shd w:fill="FFF6DE"/>
            <w:tcMar>
              <w:top w:w="80" w:type="dxa"/>
              <w:start w:w="115" w:type="dxa"/>
              <w:bottom w:w="80" w:type="dxa"/>
              <w:end w:w="115" w:type="dxa"/>
            </w:tcMar>
          </w:tcPr>
          <w:p>
            <w:pPr>
              <w:spacing w:before="0" w:after="0" w:line="252" w:lineRule="auto"/>
              <w:jc w:val="center"/>
            </w:pPr>
            <w:r/>
            <w:r>
              <w:rPr>
                <w:rFonts w:ascii="Arial" w:hAnsi="Arial"/>
                <w:b/>
                <w:i w:val="0"/>
                <w:color w:val="B7791F"/>
                <w:sz w:val="19"/>
              </w:rPr>
              <w:t>Not connected</w:t>
            </w:r>
          </w:p>
        </w:tc>
        <w:tc>
          <w:tcPr>
            <w:tcW w:type="dxa" w:w="5620"/>
            <w:tcMar>
              <w:top w:w="80" w:type="dxa"/>
              <w:start w:w="115" w:type="dxa"/>
              <w:bottom w:w="80" w:type="dxa"/>
              <w:end w:w="115" w:type="dxa"/>
            </w:tcMar>
          </w:tcPr>
          <w:p>
            <w:pPr>
              <w:spacing w:before="0" w:after="0" w:line="252" w:lineRule="auto"/>
              <w:jc w:val="left"/>
            </w:pPr>
            <w:r/>
            <w:r>
              <w:rPr>
                <w:rFonts w:ascii="Arial" w:hAnsi="Arial"/>
                <w:b w:val="0"/>
                <w:i w:val="0"/>
                <w:color w:val="1F2937"/>
                <w:sz w:val="18"/>
              </w:rPr>
              <w:t>The screenshot comparison was not independently reproduced, so the API-side missing-field claim remains unverified in this review.</w:t>
            </w:r>
          </w:p>
        </w:tc>
      </w:tr>
      <w:tr>
        <w:tc>
          <w:tcPr>
            <w:tcW w:type="dxa" w:w="2250"/>
            <w:tcMar>
              <w:top w:w="80" w:type="dxa"/>
              <w:start w:w="115" w:type="dxa"/>
              <w:bottom w:w="80" w:type="dxa"/>
              <w:end w:w="115" w:type="dxa"/>
            </w:tcMar>
          </w:tcPr>
          <w:p>
            <w:pPr>
              <w:spacing w:before="0" w:after="0" w:line="252" w:lineRule="auto"/>
              <w:jc w:val="left"/>
            </w:pPr>
            <w:r/>
            <w:r>
              <w:rPr>
                <w:rFonts w:ascii="Arial" w:hAnsi="Arial"/>
                <w:b w:val="0"/>
                <w:i w:val="0"/>
                <w:color w:val="1F2937"/>
                <w:sz w:val="18"/>
              </w:rPr>
              <w:t>Acceptance criteria</w:t>
            </w:r>
          </w:p>
        </w:tc>
        <w:tc>
          <w:tcPr>
            <w:tcW w:type="dxa" w:w="1650"/>
            <w:shd w:fill="FFF6DE"/>
            <w:tcMar>
              <w:top w:w="80" w:type="dxa"/>
              <w:start w:w="115" w:type="dxa"/>
              <w:bottom w:w="80" w:type="dxa"/>
              <w:end w:w="115" w:type="dxa"/>
            </w:tcMar>
          </w:tcPr>
          <w:p>
            <w:pPr>
              <w:spacing w:before="0" w:after="0" w:line="252" w:lineRule="auto"/>
              <w:jc w:val="center"/>
            </w:pPr>
            <w:r/>
            <w:r>
              <w:rPr>
                <w:rFonts w:ascii="Arial" w:hAnsi="Arial"/>
                <w:b/>
                <w:i w:val="0"/>
                <w:color w:val="B7791F"/>
                <w:sz w:val="19"/>
              </w:rPr>
              <w:t>Missing</w:t>
            </w:r>
          </w:p>
        </w:tc>
        <w:tc>
          <w:tcPr>
            <w:tcW w:type="dxa" w:w="5620"/>
            <w:tcMar>
              <w:top w:w="80" w:type="dxa"/>
              <w:start w:w="115" w:type="dxa"/>
              <w:bottom w:w="80" w:type="dxa"/>
              <w:end w:w="115" w:type="dxa"/>
            </w:tcMar>
          </w:tcPr>
          <w:p>
            <w:pPr>
              <w:spacing w:before="0" w:after="0" w:line="252" w:lineRule="auto"/>
              <w:jc w:val="left"/>
            </w:pPr>
            <w:r/>
            <w:r>
              <w:rPr>
                <w:rFonts w:ascii="Arial" w:hAnsi="Arial"/>
                <w:b w:val="0"/>
                <w:i w:val="0"/>
                <w:color w:val="1F2937"/>
                <w:sz w:val="18"/>
              </w:rPr>
              <w:t>The ticket export says None. The intended controller matrix, approved extra values, and exact deployment inventory are therefore not authoritative.</w:t>
            </w:r>
          </w:p>
        </w:tc>
      </w:tr>
      <w:tr>
        <w:tc>
          <w:tcPr>
            <w:tcW w:type="dxa" w:w="2250"/>
            <w:tcMar>
              <w:top w:w="80" w:type="dxa"/>
              <w:start w:w="115" w:type="dxa"/>
              <w:bottom w:w="80" w:type="dxa"/>
              <w:end w:w="115" w:type="dxa"/>
            </w:tcMar>
          </w:tcPr>
          <w:p>
            <w:pPr>
              <w:spacing w:before="0" w:after="0" w:line="252" w:lineRule="auto"/>
              <w:jc w:val="left"/>
            </w:pPr>
            <w:r/>
            <w:r>
              <w:rPr>
                <w:rFonts w:ascii="Arial" w:hAnsi="Arial"/>
                <w:b w:val="0"/>
                <w:i w:val="0"/>
                <w:color w:val="1F2937"/>
                <w:sz w:val="18"/>
              </w:rPr>
              <w:t>Testing and release</w:t>
            </w:r>
          </w:p>
        </w:tc>
        <w:tc>
          <w:tcPr>
            <w:tcW w:type="dxa" w:w="1650"/>
            <w:shd w:fill="FFF6DE"/>
            <w:tcMar>
              <w:top w:w="80" w:type="dxa"/>
              <w:start w:w="115" w:type="dxa"/>
              <w:bottom w:w="80" w:type="dxa"/>
              <w:end w:w="115" w:type="dxa"/>
            </w:tcMar>
          </w:tcPr>
          <w:p>
            <w:pPr>
              <w:spacing w:before="0" w:after="0" w:line="252" w:lineRule="auto"/>
              <w:jc w:val="center"/>
            </w:pPr>
            <w:r/>
            <w:r>
              <w:rPr>
                <w:rFonts w:ascii="Arial" w:hAnsi="Arial"/>
                <w:b/>
                <w:i w:val="0"/>
                <w:color w:val="B7791F"/>
                <w:sz w:val="19"/>
              </w:rPr>
              <w:t>Not performed</w:t>
            </w:r>
          </w:p>
        </w:tc>
        <w:tc>
          <w:tcPr>
            <w:tcW w:type="dxa" w:w="5620"/>
            <w:tcMar>
              <w:top w:w="80" w:type="dxa"/>
              <w:start w:w="115" w:type="dxa"/>
              <w:bottom w:w="80" w:type="dxa"/>
              <w:end w:w="115" w:type="dxa"/>
            </w:tcMar>
          </w:tcPr>
          <w:p>
            <w:pPr>
              <w:spacing w:before="0" w:after="0" w:line="252" w:lineRule="auto"/>
              <w:jc w:val="left"/>
            </w:pPr>
            <w:r/>
            <w:r>
              <w:rPr>
                <w:rFonts w:ascii="Arial" w:hAnsi="Arial"/>
                <w:b w:val="0"/>
                <w:i w:val="0"/>
                <w:color w:val="1F2937"/>
                <w:sz w:val="18"/>
              </w:rPr>
              <w:t>No record creation, persona UI test, deployment validation, deployment, activation, access assignment, or UAT execution was performed.</w:t>
            </w:r>
          </w:p>
        </w:tc>
      </w:tr>
    </w:tbl>
    <w:p>
      <w:pPr>
        <w:spacing w:after="20"/>
      </w:pPr>
    </w:p>
    <w:p>
      <w:pPr>
        <w:pStyle w:val="Heading1"/>
        <w:keepNext/>
      </w:pPr>
      <w:r>
        <w:t>Required approval gates</w:t>
      </w:r>
    </w:p>
    <w:tbl>
      <w:tblPr>
        <w:tblStyle w:val="TableGrid"/>
        <w:tblW w:type="dxa" w:w="952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50"/>
        <w:gridCol w:w="3100"/>
        <w:gridCol w:w="5870"/>
      </w:tblGrid>
      <w:tr>
        <w:trPr>
          <w:tblHeader w:val="true"/>
        </w:trPr>
        <w:tc>
          <w:tcPr>
            <w:tcW w:type="dxa" w:w="55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w:t>
            </w:r>
          </w:p>
        </w:tc>
        <w:tc>
          <w:tcPr>
            <w:tcW w:type="dxa" w:w="310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Required action</w:t>
            </w:r>
          </w:p>
        </w:tc>
        <w:tc>
          <w:tcPr>
            <w:tcW w:type="dxa" w:w="587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Approval evidence</w:t>
            </w:r>
          </w:p>
        </w:tc>
      </w:tr>
      <w:tr>
        <w:tc>
          <w:tcPr>
            <w:tcW w:type="dxa" w:w="550"/>
            <w:tcMar>
              <w:top w:w="80" w:type="dxa"/>
              <w:start w:w="115" w:type="dxa"/>
              <w:bottom w:w="80" w:type="dxa"/>
              <w:end w:w="115" w:type="dxa"/>
            </w:tcMar>
          </w:tcPr>
          <w:p>
            <w:pPr>
              <w:spacing w:before="0" w:after="0" w:line="252" w:lineRule="auto"/>
              <w:jc w:val="left"/>
            </w:pPr>
            <w:r/>
            <w:r>
              <w:rPr>
                <w:rFonts w:ascii="Arial" w:hAnsi="Arial"/>
                <w:b w:val="0"/>
                <w:i w:val="0"/>
                <w:color w:val="1F2937"/>
                <w:sz w:val="18"/>
              </w:rPr>
              <w:t>1</w:t>
            </w:r>
          </w:p>
        </w:tc>
        <w:tc>
          <w:tcPr>
            <w:tcW w:type="dxa" w:w="3100"/>
            <w:tcMar>
              <w:top w:w="80" w:type="dxa"/>
              <w:start w:w="115" w:type="dxa"/>
              <w:bottom w:w="80" w:type="dxa"/>
              <w:end w:w="115" w:type="dxa"/>
            </w:tcMar>
          </w:tcPr>
          <w:p>
            <w:pPr>
              <w:spacing w:before="0" w:after="0" w:line="252" w:lineRule="auto"/>
              <w:jc w:val="left"/>
            </w:pPr>
            <w:r/>
            <w:r>
              <w:rPr>
                <w:rFonts w:ascii="Arial" w:hAnsi="Arial"/>
                <w:b w:val="0"/>
                <w:i w:val="0"/>
                <w:color w:val="1F2937"/>
                <w:sz w:val="18"/>
              </w:rPr>
              <w:t>Attach exact PR evidence</w:t>
            </w:r>
          </w:p>
        </w:tc>
        <w:tc>
          <w:tcPr>
            <w:tcW w:type="dxa" w:w="5870"/>
            <w:tcMar>
              <w:top w:w="80" w:type="dxa"/>
              <w:start w:w="115" w:type="dxa"/>
              <w:bottom w:w="80" w:type="dxa"/>
              <w:end w:w="115" w:type="dxa"/>
            </w:tcMar>
          </w:tcPr>
          <w:p>
            <w:pPr>
              <w:spacing w:before="0" w:after="0" w:line="252" w:lineRule="auto"/>
              <w:jc w:val="left"/>
            </w:pPr>
            <w:r/>
            <w:r>
              <w:rPr>
                <w:rFonts w:ascii="Arial" w:hAnsi="Arial"/>
                <w:b w:val="0"/>
                <w:i w:val="0"/>
                <w:color w:val="1F2937"/>
                <w:sz w:val="18"/>
              </w:rPr>
              <w:t>PR URL, base/head, commit SHA, changed-file list, and diff match the intended release.</w:t>
            </w:r>
          </w:p>
        </w:tc>
      </w:tr>
      <w:tr>
        <w:tc>
          <w:tcPr>
            <w:tcW w:type="dxa" w:w="550"/>
            <w:tcMar>
              <w:top w:w="80" w:type="dxa"/>
              <w:start w:w="115" w:type="dxa"/>
              <w:bottom w:w="80" w:type="dxa"/>
              <w:end w:w="115" w:type="dxa"/>
            </w:tcMar>
          </w:tcPr>
          <w:p>
            <w:pPr>
              <w:spacing w:before="0" w:after="0" w:line="252" w:lineRule="auto"/>
              <w:jc w:val="left"/>
            </w:pPr>
            <w:r/>
            <w:r>
              <w:rPr>
                <w:rFonts w:ascii="Arial" w:hAnsi="Arial"/>
                <w:b w:val="0"/>
                <w:i w:val="0"/>
                <w:color w:val="1F2937"/>
                <w:sz w:val="18"/>
              </w:rPr>
              <w:t>2</w:t>
            </w:r>
          </w:p>
        </w:tc>
        <w:tc>
          <w:tcPr>
            <w:tcW w:type="dxa" w:w="3100"/>
            <w:tcMar>
              <w:top w:w="80" w:type="dxa"/>
              <w:start w:w="115" w:type="dxa"/>
              <w:bottom w:w="80" w:type="dxa"/>
              <w:end w:w="115" w:type="dxa"/>
            </w:tcMar>
          </w:tcPr>
          <w:p>
            <w:pPr>
              <w:spacing w:before="0" w:after="0" w:line="252" w:lineRule="auto"/>
              <w:jc w:val="left"/>
            </w:pPr>
            <w:r/>
            <w:r>
              <w:rPr>
                <w:rFonts w:ascii="Arial" w:hAnsi="Arial"/>
                <w:b w:val="0"/>
                <w:i w:val="0"/>
                <w:color w:val="1F2937"/>
                <w:sz w:val="18"/>
              </w:rPr>
              <w:t>Correct Primary Resolution enablement</w:t>
            </w:r>
          </w:p>
        </w:tc>
        <w:tc>
          <w:tcPr>
            <w:tcW w:type="dxa" w:w="5870"/>
            <w:tcMar>
              <w:top w:w="80" w:type="dxa"/>
              <w:start w:w="115" w:type="dxa"/>
              <w:bottom w:w="80" w:type="dxa"/>
              <w:end w:w="115" w:type="dxa"/>
            </w:tcMar>
          </w:tcPr>
          <w:p>
            <w:pPr>
              <w:spacing w:before="0" w:after="0" w:line="252" w:lineRule="auto"/>
              <w:jc w:val="left"/>
            </w:pPr>
            <w:r/>
            <w:r>
              <w:rPr>
                <w:rFonts w:ascii="Arial" w:hAnsi="Arial"/>
                <w:b w:val="0"/>
                <w:i w:val="0"/>
                <w:color w:val="1F2937"/>
                <w:sz w:val="18"/>
              </w:rPr>
              <w:t>All approved values are enabled for Trouble Ticket and verified through UI API plus a named-persona UI test.</w:t>
            </w:r>
          </w:p>
        </w:tc>
      </w:tr>
      <w:tr>
        <w:tc>
          <w:tcPr>
            <w:tcW w:type="dxa" w:w="550"/>
            <w:tcMar>
              <w:top w:w="80" w:type="dxa"/>
              <w:start w:w="115" w:type="dxa"/>
              <w:bottom w:w="80" w:type="dxa"/>
              <w:end w:w="115" w:type="dxa"/>
            </w:tcMar>
          </w:tcPr>
          <w:p>
            <w:pPr>
              <w:spacing w:before="0" w:after="0" w:line="252" w:lineRule="auto"/>
              <w:jc w:val="left"/>
            </w:pPr>
            <w:r/>
            <w:r>
              <w:rPr>
                <w:rFonts w:ascii="Arial" w:hAnsi="Arial"/>
                <w:b w:val="0"/>
                <w:i w:val="0"/>
                <w:color w:val="1F2937"/>
                <w:sz w:val="18"/>
              </w:rPr>
              <w:t>3</w:t>
            </w:r>
          </w:p>
        </w:tc>
        <w:tc>
          <w:tcPr>
            <w:tcW w:type="dxa" w:w="3100"/>
            <w:tcMar>
              <w:top w:w="80" w:type="dxa"/>
              <w:start w:w="115" w:type="dxa"/>
              <w:bottom w:w="80" w:type="dxa"/>
              <w:end w:w="115" w:type="dxa"/>
            </w:tcMar>
          </w:tcPr>
          <w:p>
            <w:pPr>
              <w:spacing w:before="0" w:after="0" w:line="252" w:lineRule="auto"/>
              <w:jc w:val="left"/>
            </w:pPr>
            <w:r/>
            <w:r>
              <w:rPr>
                <w:rFonts w:ascii="Arial" w:hAnsi="Arial"/>
                <w:b w:val="0"/>
                <w:i w:val="0"/>
                <w:color w:val="1F2937"/>
                <w:sz w:val="18"/>
              </w:rPr>
              <w:t>Confirm dependency design</w:t>
            </w:r>
          </w:p>
        </w:tc>
        <w:tc>
          <w:tcPr>
            <w:tcW w:type="dxa" w:w="5870"/>
            <w:tcMar>
              <w:top w:w="80" w:type="dxa"/>
              <w:start w:w="115" w:type="dxa"/>
              <w:bottom w:w="80" w:type="dxa"/>
              <w:end w:w="115" w:type="dxa"/>
            </w:tcMar>
          </w:tcPr>
          <w:p>
            <w:pPr>
              <w:spacing w:before="0" w:after="0" w:line="252" w:lineRule="auto"/>
              <w:jc w:val="left"/>
            </w:pPr>
            <w:r/>
            <w:r>
              <w:rPr>
                <w:rFonts w:ascii="Arial" w:hAnsi="Arial"/>
                <w:b w:val="0"/>
                <w:i w:val="0"/>
                <w:color w:val="1F2937"/>
                <w:sz w:val="18"/>
              </w:rPr>
              <w:t>Product Owner states whether Subscriber Report must depend on Service Type and supplies the approved service-to-report matrix.</w:t>
            </w:r>
          </w:p>
        </w:tc>
      </w:tr>
      <w:tr>
        <w:tc>
          <w:tcPr>
            <w:tcW w:type="dxa" w:w="550"/>
            <w:tcMar>
              <w:top w:w="80" w:type="dxa"/>
              <w:start w:w="115" w:type="dxa"/>
              <w:bottom w:w="80" w:type="dxa"/>
              <w:end w:w="115" w:type="dxa"/>
            </w:tcMar>
          </w:tcPr>
          <w:p>
            <w:pPr>
              <w:spacing w:before="0" w:after="0" w:line="252" w:lineRule="auto"/>
              <w:jc w:val="left"/>
            </w:pPr>
            <w:r/>
            <w:r>
              <w:rPr>
                <w:rFonts w:ascii="Arial" w:hAnsi="Arial"/>
                <w:b w:val="0"/>
                <w:i w:val="0"/>
                <w:color w:val="1F2937"/>
                <w:sz w:val="18"/>
              </w:rPr>
              <w:t>4</w:t>
            </w:r>
          </w:p>
        </w:tc>
        <w:tc>
          <w:tcPr>
            <w:tcW w:type="dxa" w:w="3100"/>
            <w:tcMar>
              <w:top w:w="80" w:type="dxa"/>
              <w:start w:w="115" w:type="dxa"/>
              <w:bottom w:w="80" w:type="dxa"/>
              <w:end w:w="115" w:type="dxa"/>
            </w:tcMar>
          </w:tcPr>
          <w:p>
            <w:pPr>
              <w:spacing w:before="0" w:after="0" w:line="252" w:lineRule="auto"/>
              <w:jc w:val="left"/>
            </w:pPr>
            <w:r/>
            <w:r>
              <w:rPr>
                <w:rFonts w:ascii="Arial" w:hAnsi="Arial"/>
                <w:b w:val="0"/>
                <w:i w:val="0"/>
                <w:color w:val="1F2937"/>
                <w:sz w:val="18"/>
              </w:rPr>
              <w:t>Reconcile values</w:t>
            </w:r>
          </w:p>
        </w:tc>
        <w:tc>
          <w:tcPr>
            <w:tcW w:type="dxa" w:w="5870"/>
            <w:tcMar>
              <w:top w:w="80" w:type="dxa"/>
              <w:start w:w="115" w:type="dxa"/>
              <w:bottom w:w="80" w:type="dxa"/>
              <w:end w:w="115" w:type="dxa"/>
            </w:tcMar>
          </w:tcPr>
          <w:p>
            <w:pPr>
              <w:spacing w:before="0" w:after="0" w:line="252" w:lineRule="auto"/>
              <w:jc w:val="left"/>
            </w:pPr>
            <w:r/>
            <w:r>
              <w:rPr>
                <w:rFonts w:ascii="Arial" w:hAnsi="Arial"/>
                <w:b w:val="0"/>
                <w:i w:val="0"/>
                <w:color w:val="1F2937"/>
                <w:sz w:val="18"/>
              </w:rPr>
              <w:t>Map Fiber Splicing Completed, resolve duplicate-format resolutions, and approve or remove the eight additional Subscriber Report values.</w:t>
            </w:r>
          </w:p>
        </w:tc>
      </w:tr>
      <w:tr>
        <w:tc>
          <w:tcPr>
            <w:tcW w:type="dxa" w:w="550"/>
            <w:tcMar>
              <w:top w:w="80" w:type="dxa"/>
              <w:start w:w="115" w:type="dxa"/>
              <w:bottom w:w="80" w:type="dxa"/>
              <w:end w:w="115" w:type="dxa"/>
            </w:tcMar>
          </w:tcPr>
          <w:p>
            <w:pPr>
              <w:spacing w:before="0" w:after="0" w:line="252" w:lineRule="auto"/>
              <w:jc w:val="left"/>
            </w:pPr>
            <w:r/>
            <w:r>
              <w:rPr>
                <w:rFonts w:ascii="Arial" w:hAnsi="Arial"/>
                <w:b w:val="0"/>
                <w:i w:val="0"/>
                <w:color w:val="1F2937"/>
                <w:sz w:val="18"/>
              </w:rPr>
              <w:t>5</w:t>
            </w:r>
          </w:p>
        </w:tc>
        <w:tc>
          <w:tcPr>
            <w:tcW w:type="dxa" w:w="3100"/>
            <w:tcMar>
              <w:top w:w="80" w:type="dxa"/>
              <w:start w:w="115" w:type="dxa"/>
              <w:bottom w:w="80" w:type="dxa"/>
              <w:end w:w="115" w:type="dxa"/>
            </w:tcMar>
          </w:tcPr>
          <w:p>
            <w:pPr>
              <w:spacing w:before="0" w:after="0" w:line="252" w:lineRule="auto"/>
              <w:jc w:val="left"/>
            </w:pPr>
            <w:r/>
            <w:r>
              <w:rPr>
                <w:rFonts w:ascii="Arial" w:hAnsi="Arial"/>
                <w:b w:val="0"/>
                <w:i w:val="0"/>
                <w:color w:val="1F2937"/>
                <w:sz w:val="18"/>
              </w:rPr>
              <w:t>Correct component inventory</w:t>
            </w:r>
          </w:p>
        </w:tc>
        <w:tc>
          <w:tcPr>
            <w:tcW w:type="dxa" w:w="5870"/>
            <w:tcMar>
              <w:top w:w="80" w:type="dxa"/>
              <w:start w:w="115" w:type="dxa"/>
              <w:bottom w:w="80" w:type="dxa"/>
              <w:end w:w="115" w:type="dxa"/>
            </w:tcMar>
          </w:tcPr>
          <w:p>
            <w:pPr>
              <w:spacing w:before="0" w:after="0" w:line="252" w:lineRule="auto"/>
              <w:jc w:val="left"/>
            </w:pPr>
            <w:r/>
            <w:r>
              <w:rPr>
                <w:rFonts w:ascii="Arial" w:hAnsi="Arial"/>
                <w:b w:val="0"/>
                <w:i w:val="0"/>
                <w:color w:val="1F2937"/>
                <w:sz w:val="18"/>
              </w:rPr>
              <w:t>Ticket and PR name the record type, layout, fields, value set, dependencies, and actual profile or permission-set access components.</w:t>
            </w:r>
          </w:p>
        </w:tc>
      </w:tr>
      <w:tr>
        <w:tc>
          <w:tcPr>
            <w:tcW w:type="dxa" w:w="550"/>
            <w:tcMar>
              <w:top w:w="80" w:type="dxa"/>
              <w:start w:w="115" w:type="dxa"/>
              <w:bottom w:w="80" w:type="dxa"/>
              <w:end w:w="115" w:type="dxa"/>
            </w:tcMar>
          </w:tcPr>
          <w:p>
            <w:pPr>
              <w:spacing w:before="0" w:after="0" w:line="252" w:lineRule="auto"/>
              <w:jc w:val="left"/>
            </w:pPr>
            <w:r/>
            <w:r>
              <w:rPr>
                <w:rFonts w:ascii="Arial" w:hAnsi="Arial"/>
                <w:b w:val="0"/>
                <w:i w:val="0"/>
                <w:color w:val="1F2937"/>
                <w:sz w:val="18"/>
              </w:rPr>
              <w:t>6</w:t>
            </w:r>
          </w:p>
        </w:tc>
        <w:tc>
          <w:tcPr>
            <w:tcW w:type="dxa" w:w="3100"/>
            <w:tcMar>
              <w:top w:w="80" w:type="dxa"/>
              <w:start w:w="115" w:type="dxa"/>
              <w:bottom w:w="80" w:type="dxa"/>
              <w:end w:w="115" w:type="dxa"/>
            </w:tcMar>
          </w:tcPr>
          <w:p>
            <w:pPr>
              <w:spacing w:before="0" w:after="0" w:line="252" w:lineRule="auto"/>
              <w:jc w:val="left"/>
            </w:pPr>
            <w:r/>
            <w:r>
              <w:rPr>
                <w:rFonts w:ascii="Arial" w:hAnsi="Arial"/>
                <w:b w:val="0"/>
                <w:i w:val="0"/>
                <w:color w:val="1F2937"/>
                <w:sz w:val="18"/>
              </w:rPr>
              <w:t>Run promotion-path validation</w:t>
            </w:r>
          </w:p>
        </w:tc>
        <w:tc>
          <w:tcPr>
            <w:tcW w:type="dxa" w:w="5870"/>
            <w:tcMar>
              <w:top w:w="80" w:type="dxa"/>
              <w:start w:w="115" w:type="dxa"/>
              <w:bottom w:w="80" w:type="dxa"/>
              <w:end w:w="115" w:type="dxa"/>
            </w:tcMar>
          </w:tcPr>
          <w:p>
            <w:pPr>
              <w:spacing w:before="0" w:after="0" w:line="252" w:lineRule="auto"/>
              <w:jc w:val="left"/>
            </w:pPr>
            <w:r/>
            <w:r>
              <w:rPr>
                <w:rFonts w:ascii="Arial" w:hAnsi="Arial"/>
                <w:b w:val="0"/>
                <w:i w:val="0"/>
                <w:color w:val="1F2937"/>
                <w:sz w:val="18"/>
              </w:rPr>
              <w:t>Re-review the PR diff, test as named personas in Merge, and independently verify the target API/UAT org after promotion.</w:t>
            </w:r>
          </w:p>
        </w:tc>
      </w:tr>
    </w:tbl>
    <w:p>
      <w:pPr>
        <w:spacing w:after="20"/>
      </w:pPr>
    </w:p>
    <w:p>
      <w:r>
        <w:br w:type="page"/>
      </w:r>
    </w:p>
    <w:p>
      <w:pPr>
        <w:pStyle w:val="Heading1"/>
        <w:keepNext/>
      </w:pPr>
      <w:r>
        <w:t>Ready to paste peer review response</w:t>
      </w:r>
    </w:p>
    <w:p>
      <w:pPr>
        <w:spacing w:after="160" w:line="264" w:lineRule="auto"/>
      </w:pPr>
      <w:r>
        <w:rPr>
          <w:rFonts w:ascii="Arial" w:hAnsi="Arial"/>
          <w:b w:val="0"/>
          <w:i w:val="0"/>
          <w:color w:val="1F2937"/>
          <w:sz w:val="22"/>
        </w:rPr>
        <w:t>Peer review completed in GreatPlainsMerge. Changes Requested - do not approve the PR yet. The Trouble Ticket record type is active; the dedicated layout includes the source-listed Case Information, Critical Dates, and Resolution Details fields; and Admin, Standard, and System Administrator - API Only have read/edit access to all nine reviewed custom fields. All 64 unique Subscriber Report labels supplied in the ticket are enabled, with eight additional values requiring business confirmation. The blocking defect is Primary Resolution: the Trouble Ticket record type currently exposes only Cleared Without Repair even though the supplied list contains 61 unique values. Subscriber Report also has no Service Type controller, Fiber Splicing Completed is not mapped in the Primary Resolution dependency, and duplicate-format resolution values need reconciliation. The ticket has no acceptance criteria, and no PR URL, base/head, commit, file list, or diff was supplied, so branch parity and merge readiness cannot be approved. Attach the exact PR evidence, correct and retest the runtime picklists, document the intended dependency matrix and component inventory, then resubmit for peer review. No Salesforce records, metadata, activation, deployment, or access assignments were changed.</w:t>
      </w:r>
    </w:p>
    <w:p>
      <w:pPr>
        <w:pStyle w:val="Heading1"/>
        <w:keepNext/>
      </w:pPr>
      <w:r>
        <w:t>Reviewer sign-off summary</w:t>
      </w:r>
    </w:p>
    <w:tbl>
      <w:tblPr>
        <w:tblStyle w:val="TableGrid"/>
        <w:tblW w:type="dxa" w:w="9520"/>
        <w:jc w:val="left"/>
        <w:tblLayout w:type="fixed"/>
        <w:tblLook w:firstColumn="1" w:firstRow="1" w:lastColumn="0" w:lastRow="0" w:noHBand="0" w:noVBand="1" w:val="04A0"/>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50"/>
        <w:gridCol w:w="6870"/>
      </w:tblGrid>
      <w:tr>
        <w:trPr>
          <w:tblHeader w:val="true"/>
        </w:trPr>
        <w:tc>
          <w:tcPr>
            <w:tcW w:type="dxa" w:w="265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Review item</w:t>
            </w:r>
          </w:p>
        </w:tc>
        <w:tc>
          <w:tcPr>
            <w:tcW w:type="dxa" w:w="6870"/>
            <w:tcMar>
              <w:top w:w="80" w:type="dxa"/>
              <w:start w:w="115" w:type="dxa"/>
              <w:bottom w:w="80" w:type="dxa"/>
              <w:end w:w="115" w:type="dxa"/>
            </w:tcMar>
            <w:vAlign w:val="center"/>
            <w:shd w:fill="F2F4F7"/>
          </w:tcPr>
          <w:p>
            <w:pPr>
              <w:spacing w:before="0" w:after="0" w:line="252" w:lineRule="auto"/>
              <w:jc w:val="left"/>
            </w:pPr>
            <w:r/>
            <w:r>
              <w:rPr>
                <w:rFonts w:ascii="Arial" w:hAnsi="Arial"/>
                <w:b/>
                <w:i w:val="0"/>
                <w:color w:val="0B2545"/>
                <w:sz w:val="19"/>
              </w:rPr>
              <w:t>Outcome</w:t>
            </w:r>
          </w:p>
        </w:tc>
      </w:tr>
      <w:tr>
        <w:tc>
          <w:tcPr>
            <w:tcW w:type="dxa" w:w="2650"/>
            <w:tcMar>
              <w:top w:w="80" w:type="dxa"/>
              <w:start w:w="115" w:type="dxa"/>
              <w:bottom w:w="80" w:type="dxa"/>
              <w:end w:w="115" w:type="dxa"/>
            </w:tcMar>
          </w:tcPr>
          <w:p>
            <w:pPr>
              <w:spacing w:before="0" w:after="0" w:line="252" w:lineRule="auto"/>
              <w:jc w:val="left"/>
            </w:pPr>
            <w:r/>
            <w:r>
              <w:rPr>
                <w:rFonts w:ascii="Arial" w:hAnsi="Arial"/>
                <w:b w:val="0"/>
                <w:i w:val="0"/>
                <w:color w:val="1F2937"/>
                <w:sz w:val="18"/>
              </w:rPr>
              <w:t>Current recommendation</w:t>
            </w:r>
          </w:p>
        </w:tc>
        <w:tc>
          <w:tcPr>
            <w:tcW w:type="dxa" w:w="6870"/>
            <w:tcMar>
              <w:top w:w="80" w:type="dxa"/>
              <w:start w:w="115" w:type="dxa"/>
              <w:bottom w:w="80" w:type="dxa"/>
              <w:end w:w="115" w:type="dxa"/>
            </w:tcMar>
          </w:tcPr>
          <w:p>
            <w:pPr>
              <w:spacing w:before="0" w:after="0" w:line="252" w:lineRule="auto"/>
              <w:jc w:val="left"/>
            </w:pPr>
            <w:r/>
            <w:r>
              <w:rPr>
                <w:rFonts w:ascii="Arial" w:hAnsi="Arial"/>
                <w:b w:val="0"/>
                <w:i w:val="0"/>
                <w:color w:val="1F2937"/>
                <w:sz w:val="18"/>
              </w:rPr>
              <w:t>Changes Requested</w:t>
            </w:r>
          </w:p>
        </w:tc>
      </w:tr>
      <w:tr>
        <w:tc>
          <w:tcPr>
            <w:tcW w:type="dxa" w:w="2650"/>
            <w:tcMar>
              <w:top w:w="80" w:type="dxa"/>
              <w:start w:w="115" w:type="dxa"/>
              <w:bottom w:w="80" w:type="dxa"/>
              <w:end w:w="115" w:type="dxa"/>
            </w:tcMar>
          </w:tcPr>
          <w:p>
            <w:pPr>
              <w:spacing w:before="0" w:after="0" w:line="252" w:lineRule="auto"/>
              <w:jc w:val="left"/>
            </w:pPr>
            <w:r/>
            <w:r>
              <w:rPr>
                <w:rFonts w:ascii="Arial" w:hAnsi="Arial"/>
                <w:b w:val="0"/>
                <w:i w:val="0"/>
                <w:color w:val="1F2937"/>
                <w:sz w:val="18"/>
              </w:rPr>
              <w:t>Verified pass areas</w:t>
            </w:r>
          </w:p>
        </w:tc>
        <w:tc>
          <w:tcPr>
            <w:tcW w:type="dxa" w:w="6870"/>
            <w:tcMar>
              <w:top w:w="80" w:type="dxa"/>
              <w:start w:w="115" w:type="dxa"/>
              <w:bottom w:w="80" w:type="dxa"/>
              <w:end w:w="115" w:type="dxa"/>
            </w:tcMar>
          </w:tcPr>
          <w:p>
            <w:pPr>
              <w:spacing w:before="0" w:after="0" w:line="252" w:lineRule="auto"/>
              <w:jc w:val="left"/>
            </w:pPr>
            <w:r/>
            <w:r>
              <w:rPr>
                <w:rFonts w:ascii="Arial" w:hAnsi="Arial"/>
                <w:b w:val="0"/>
                <w:i w:val="0"/>
                <w:color w:val="1F2937"/>
                <w:sz w:val="18"/>
              </w:rPr>
              <w:t>Active record type; dedicated layout; source-listed fields; three reviewed profile access paths; supplied Subscriber Report labels.</w:t>
            </w:r>
          </w:p>
        </w:tc>
      </w:tr>
      <w:tr>
        <w:tc>
          <w:tcPr>
            <w:tcW w:type="dxa" w:w="2650"/>
            <w:tcMar>
              <w:top w:w="80" w:type="dxa"/>
              <w:start w:w="115" w:type="dxa"/>
              <w:bottom w:w="80" w:type="dxa"/>
              <w:end w:w="115" w:type="dxa"/>
            </w:tcMar>
          </w:tcPr>
          <w:p>
            <w:pPr>
              <w:spacing w:before="0" w:after="0" w:line="252" w:lineRule="auto"/>
              <w:jc w:val="left"/>
            </w:pPr>
            <w:r/>
            <w:r>
              <w:rPr>
                <w:rFonts w:ascii="Arial" w:hAnsi="Arial"/>
                <w:b w:val="0"/>
                <w:i w:val="0"/>
                <w:color w:val="1F2937"/>
                <w:sz w:val="18"/>
              </w:rPr>
              <w:t>Blocking areas</w:t>
            </w:r>
          </w:p>
        </w:tc>
        <w:tc>
          <w:tcPr>
            <w:tcW w:type="dxa" w:w="6870"/>
            <w:tcMar>
              <w:top w:w="80" w:type="dxa"/>
              <w:start w:w="115" w:type="dxa"/>
              <w:bottom w:w="80" w:type="dxa"/>
              <w:end w:w="115" w:type="dxa"/>
            </w:tcMar>
          </w:tcPr>
          <w:p>
            <w:pPr>
              <w:spacing w:before="0" w:after="0" w:line="252" w:lineRule="auto"/>
              <w:jc w:val="left"/>
            </w:pPr>
            <w:r/>
            <w:r>
              <w:rPr>
                <w:rFonts w:ascii="Arial" w:hAnsi="Arial"/>
                <w:b w:val="0"/>
                <w:i w:val="0"/>
                <w:color w:val="1F2937"/>
                <w:sz w:val="18"/>
              </w:rPr>
              <w:t>Primary Resolution record-type enablement; missing PR diff; undocumented dependency and value decisions.</w:t>
            </w:r>
          </w:p>
        </w:tc>
      </w:tr>
      <w:tr>
        <w:tc>
          <w:tcPr>
            <w:tcW w:type="dxa" w:w="2650"/>
            <w:tcMar>
              <w:top w:w="80" w:type="dxa"/>
              <w:start w:w="115" w:type="dxa"/>
              <w:bottom w:w="80" w:type="dxa"/>
              <w:end w:w="115" w:type="dxa"/>
            </w:tcMar>
          </w:tcPr>
          <w:p>
            <w:pPr>
              <w:spacing w:before="0" w:after="0" w:line="252" w:lineRule="auto"/>
              <w:jc w:val="left"/>
            </w:pPr>
            <w:r/>
            <w:r>
              <w:rPr>
                <w:rFonts w:ascii="Arial" w:hAnsi="Arial"/>
                <w:b w:val="0"/>
                <w:i w:val="0"/>
                <w:color w:val="1F2937"/>
                <w:sz w:val="18"/>
              </w:rPr>
              <w:t>Re-review trigger</w:t>
            </w:r>
          </w:p>
        </w:tc>
        <w:tc>
          <w:tcPr>
            <w:tcW w:type="dxa" w:w="6870"/>
            <w:tcMar>
              <w:top w:w="80" w:type="dxa"/>
              <w:start w:w="115" w:type="dxa"/>
              <w:bottom w:w="80" w:type="dxa"/>
              <w:end w:w="115" w:type="dxa"/>
            </w:tcMar>
          </w:tcPr>
          <w:p>
            <w:pPr>
              <w:spacing w:before="0" w:after="0" w:line="252" w:lineRule="auto"/>
              <w:jc w:val="left"/>
            </w:pPr>
            <w:r/>
            <w:r>
              <w:rPr>
                <w:rFonts w:ascii="Arial" w:hAnsi="Arial"/>
                <w:b w:val="0"/>
                <w:i w:val="0"/>
                <w:color w:val="1F2937"/>
                <w:sz w:val="18"/>
              </w:rPr>
              <w:t>Updated PR evidence plus successful named-persona runtime verification in Merge and the promoted target org.</w:t>
            </w:r>
          </w:p>
        </w:tc>
      </w:tr>
    </w:tbl>
    <w:p>
      <w:pPr>
        <w:spacing w:after="20"/>
      </w:pPr>
    </w:p>
    <w:p>
      <w:pPr>
        <w:spacing w:after="40" w:line="264" w:lineRule="auto"/>
      </w:pPr>
      <w:r>
        <w:rPr>
          <w:rFonts w:ascii="Arial" w:hAnsi="Arial"/>
          <w:b w:val="0"/>
          <w:i/>
          <w:color w:val="5B6777"/>
          <w:sz w:val="22"/>
        </w:rPr>
        <w:t>This document assesses the evidence available on 5 September 2026. It does not certify deployment, target-org parity, business acceptance, or production readiness.</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224" w:right="1296" w:bottom="1224"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GreatPlainsMerge  |  Page </w:t>
    </w:r>
    <w:r>
      <w:rPr>
        <w:rFonts w:ascii="Arial" w:hAnsi="Arial"/>
        <w:b w:val="0"/>
        <w:i w:val="0"/>
        <w:color w:val="5B6777"/>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GreatPlainsMerge  |  Page </w:t>
    </w:r>
    <w:r>
      <w:rPr>
        <w:rFonts w:ascii="Arial" w:hAnsi="Arial"/>
        <w:b w:val="0"/>
        <w:i w:val="0"/>
        <w:color w:val="5B6777"/>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w:hAnsi="Arial"/>
        <w:b w:val="0"/>
        <w:i w:val="0"/>
        <w:color w:val="5B6777"/>
        <w:sz w:val="18"/>
      </w:rPr>
      <w:t xml:space="preserve">GreatPlainsMerge  |  Page </w:t>
    </w:r>
    <w:r>
      <w:rPr>
        <w:rFonts w:ascii="Arial" w:hAnsi="Arial"/>
        <w:b w:val="0"/>
        <w:i w:val="0"/>
        <w:color w:val="5B6777"/>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2"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 4273 Case Trouble Ticket Peer Review</dc:title>
  <dc:subject>Read only implementation assessment in GreatPlainsMerge</dc:subject>
  <dc:creator>Peer Review</dc:creator>
  <cp:keywords>Salesforce, Great Plains, SCC-4273, Case, Trouble Ticket, peer review</cp:keywords>
  <dc:description>generated by python-docx</dc:description>
  <cp:lastModifiedBy/>
  <cp:revision>1</cp:revision>
  <dcterms:created xsi:type="dcterms:W3CDTF">2013-12-23T23:15:00Z</dcterms:created>
  <dcterms:modified xsi:type="dcterms:W3CDTF">2013-12-23T23:15:00Z</dcterms:modified>
  <cp:category/>
</cp:coreProperties>
</file>