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i w:val="0"/>
          <w:color w:val="2E74B5"/>
          <w:sz w:val="20"/>
        </w:rPr>
        <w:t>PR REVIEW</w:t>
      </w:r>
    </w:p>
    <w:p>
      <w:pPr>
        <w:spacing w:after="80"/>
      </w:pPr>
      <w:r>
        <w:rPr>
          <w:rFonts w:ascii="Arial" w:hAnsi="Arial"/>
          <w:b/>
          <w:i w:val="0"/>
          <w:color w:val="0B2545"/>
          <w:sz w:val="50"/>
        </w:rPr>
        <w:t>SCC-4485 | Consumer Account GL Classification</w:t>
      </w:r>
    </w:p>
    <w:p>
      <w:pPr>
        <w:spacing w:after="320"/>
      </w:pPr>
      <w:r>
        <w:rPr>
          <w:rFonts w:ascii="Arial" w:hAnsi="Arial"/>
          <w:b w:val="0"/>
          <w:i w:val="0"/>
          <w:color w:val="5B6777"/>
          <w:sz w:val="26"/>
        </w:rPr>
        <w:t>GreatPlainsDevA | OmniStudio implementation and merge-readiness review</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AF2FA"/>
          </w:tcPr>
          <w:p>
            <w:pPr>
              <w:spacing w:before="0" w:after="0" w:line="252" w:lineRule="auto"/>
              <w:jc w:val="left"/>
            </w:pPr>
            <w:r/>
            <w:r>
              <w:rPr>
                <w:rFonts w:ascii="Arial" w:hAnsi="Arial"/>
                <w:b/>
                <w:i w:val="0"/>
                <w:color w:val="0B2545"/>
                <w:sz w:val="19"/>
              </w:rPr>
              <w:t>Environment</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b w:val="0"/>
                <w:i w:val="0"/>
                <w:color w:val="1F2937"/>
                <w:sz w:val="19"/>
              </w:rPr>
              <w:t>GreatPlainsDevA | 00DEa00000Fc086MAB | Sandbox</w:t>
            </w:r>
          </w:p>
        </w:tc>
      </w:tr>
      <w:tr>
        <w:tc>
          <w:tcPr>
            <w:tcW w:type="dxa" w:w="1900"/>
            <w:tcMar>
              <w:top w:w="80" w:type="dxa"/>
              <w:start w:w="120" w:type="dxa"/>
              <w:bottom w:w="80" w:type="dxa"/>
              <w:end w:w="120" w:type="dxa"/>
            </w:tcMar>
            <w:vAlign w:val="center"/>
            <w:shd w:fill="EAF2FA"/>
          </w:tcPr>
          <w:p>
            <w:pPr>
              <w:spacing w:before="0" w:after="0" w:line="252" w:lineRule="auto"/>
              <w:jc w:val="left"/>
            </w:pPr>
            <w:r/>
            <w:r>
              <w:rPr>
                <w:rFonts w:ascii="Arial" w:hAnsi="Arial"/>
                <w:b/>
                <w:i w:val="0"/>
                <w:color w:val="0B2545"/>
                <w:sz w:val="19"/>
              </w:rPr>
              <w:t>Review date</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b w:val="0"/>
                <w:i w:val="0"/>
                <w:color w:val="1F2937"/>
                <w:sz w:val="19"/>
              </w:rPr>
              <w:t>28 August 2026</w:t>
            </w:r>
          </w:p>
        </w:tc>
      </w:tr>
      <w:tr>
        <w:tc>
          <w:tcPr>
            <w:tcW w:type="dxa" w:w="1900"/>
            <w:tcMar>
              <w:top w:w="80" w:type="dxa"/>
              <w:start w:w="120" w:type="dxa"/>
              <w:bottom w:w="80" w:type="dxa"/>
              <w:end w:w="120" w:type="dxa"/>
            </w:tcMar>
            <w:vAlign w:val="center"/>
            <w:shd w:fill="EAF2FA"/>
          </w:tcPr>
          <w:p>
            <w:pPr>
              <w:spacing w:before="0" w:after="0" w:line="252" w:lineRule="auto"/>
              <w:jc w:val="left"/>
            </w:pPr>
            <w:r/>
            <w:r>
              <w:rPr>
                <w:rFonts w:ascii="Arial" w:hAnsi="Arial"/>
                <w:b/>
                <w:i w:val="0"/>
                <w:color w:val="0B2545"/>
                <w:sz w:val="19"/>
              </w:rPr>
              <w:t>Evidence</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b w:val="0"/>
                <w:i w:val="0"/>
                <w:color w:val="1F2937"/>
                <w:sz w:val="19"/>
              </w:rPr>
              <w:t>Live OmniStudio configuration | Account schema | Aggregate Account read-back</w:t>
            </w:r>
          </w:p>
        </w:tc>
      </w:tr>
      <w:tr>
        <w:tc>
          <w:tcPr>
            <w:tcW w:type="dxa" w:w="1900"/>
            <w:tcMar>
              <w:top w:w="80" w:type="dxa"/>
              <w:start w:w="120" w:type="dxa"/>
              <w:bottom w:w="80" w:type="dxa"/>
              <w:end w:w="120" w:type="dxa"/>
            </w:tcMar>
            <w:vAlign w:val="center"/>
            <w:shd w:fill="EAF2FA"/>
          </w:tcPr>
          <w:p>
            <w:pPr>
              <w:spacing w:before="0" w:after="0" w:line="252" w:lineRule="auto"/>
              <w:jc w:val="left"/>
            </w:pPr>
            <w:r/>
            <w:r>
              <w:rPr>
                <w:rFonts w:ascii="Arial" w:hAnsi="Arial"/>
                <w:b/>
                <w:i w:val="0"/>
                <w:color w:val="0B2545"/>
                <w:sz w:val="19"/>
              </w:rPr>
              <w:t>Decision</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b w:val="0"/>
                <w:i w:val="0"/>
                <w:color w:val="1F2937"/>
                <w:sz w:val="19"/>
              </w:rPr>
              <w:t>Changes Requested - logic aligns; runtime/version gate remains</w:t>
            </w:r>
          </w:p>
        </w:tc>
      </w:tr>
      <w:tr>
        <w:tc>
          <w:tcPr>
            <w:tcW w:type="dxa" w:w="1900"/>
            <w:tcMar>
              <w:top w:w="80" w:type="dxa"/>
              <w:start w:w="120" w:type="dxa"/>
              <w:bottom w:w="80" w:type="dxa"/>
              <w:end w:w="120" w:type="dxa"/>
            </w:tcMar>
            <w:vAlign w:val="center"/>
            <w:shd w:fill="EAF2FA"/>
          </w:tcPr>
          <w:p>
            <w:pPr>
              <w:spacing w:before="0" w:after="0" w:line="252" w:lineRule="auto"/>
              <w:jc w:val="left"/>
            </w:pPr>
            <w:r/>
            <w:r>
              <w:rPr>
                <w:rFonts w:ascii="Arial" w:hAnsi="Arial"/>
                <w:b/>
                <w:i w:val="0"/>
                <w:color w:val="0B2545"/>
                <w:sz w:val="19"/>
              </w:rPr>
              <w:t>Boundary</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b w:val="0"/>
                <w:i w:val="0"/>
                <w:color w:val="1F2937"/>
                <w:sz w:val="19"/>
              </w:rPr>
              <w:t>PR review only; no deployment, activation, account creation, or org change</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E"/>
          </w:tcPr>
          <w:p>
            <w:pPr>
              <w:spacing w:after="40"/>
            </w:pPr>
            <w:r>
              <w:rPr>
                <w:rFonts w:ascii="Arial" w:hAnsi="Arial"/>
                <w:b/>
                <w:i w:val="0"/>
                <w:color w:val="B7791F"/>
                <w:sz w:val="18"/>
              </w:rPr>
              <w:t>PR DECISION</w:t>
            </w:r>
          </w:p>
          <w:p>
            <w:pPr>
              <w:spacing w:after="0" w:line="259" w:lineRule="auto"/>
            </w:pPr>
            <w:r>
              <w:rPr>
                <w:rFonts w:ascii="Arial" w:hAnsi="Arial"/>
                <w:b/>
                <w:i w:val="0"/>
                <w:color w:val="0B2545"/>
                <w:sz w:val="22"/>
              </w:rPr>
              <w:t>Changes Requested. The acceptance-criteria logic is present in DevA, but AccountCreation v1 is inactive while active pipeline v5 invokes it. Resolve or prove that runtime/version state, attach the actual PR or DataPack diff, and provide one post-change execution result before merge approval.</w:t>
            </w:r>
          </w:p>
        </w:tc>
      </w:tr>
    </w:tbl>
    <w:p>
      <w:pPr>
        <w:spacing w:after="20"/>
      </w:pPr>
    </w:p>
    <w:p>
      <w:pPr>
        <w:pStyle w:val="Heading1"/>
        <w:keepNext/>
      </w:pPr>
      <w:r>
        <w:t>Finding summary</w:t>
      </w:r>
    </w:p>
    <w:tbl>
      <w:tblPr>
        <w:tblStyle w:val="TableGrid"/>
        <w:tblW w:type="dxa" w:w="9360"/>
        <w:jc w:val="left"/>
        <w:tblLayout w:type="fixed"/>
        <w:tblLook w:firstColumn="1" w:firstRow="1" w:lastColumn="0" w:lastRow="0" w:noHBand="0" w:noVBand="1" w:val="04A0"/>
        <w:tblInd w:w="120" w:type="dxa"/>
      </w:tblPr>
      <w:tblGrid>
        <w:gridCol w:w="1050"/>
        <w:gridCol w:w="2050"/>
        <w:gridCol w:w="1400"/>
        <w:gridCol w:w="4860"/>
      </w:tblGrid>
      <w:tr>
        <w:trPr>
          <w:tblHeader w:val="true"/>
        </w:trPr>
        <w:tc>
          <w:tcPr>
            <w:tcW w:type="dxa" w:w="105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Severity</w:t>
            </w:r>
          </w:p>
        </w:tc>
        <w:tc>
          <w:tcPr>
            <w:tcW w:type="dxa" w:w="205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Location</w:t>
            </w:r>
          </w:p>
        </w:tc>
        <w:tc>
          <w:tcPr>
            <w:tcW w:type="dxa" w:w="14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Result</w:t>
            </w:r>
          </w:p>
        </w:tc>
        <w:tc>
          <w:tcPr>
            <w:tcW w:type="dxa" w:w="486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Reviewer finding</w:t>
            </w:r>
          </w:p>
        </w:tc>
      </w:tr>
      <w:tr>
        <w:tc>
          <w:tcPr>
            <w:tcW w:type="dxa" w:w="1050"/>
            <w:tcMar>
              <w:top w:w="80" w:type="dxa"/>
              <w:start w:w="120" w:type="dxa"/>
              <w:bottom w:w="80" w:type="dxa"/>
              <w:end w:w="120" w:type="dxa"/>
            </w:tcMar>
          </w:tcPr>
          <w:p>
            <w:pPr>
              <w:spacing w:before="0" w:after="0" w:line="252" w:lineRule="auto"/>
              <w:jc w:val="left"/>
            </w:pPr>
            <w:r/>
            <w:r>
              <w:rPr>
                <w:rFonts w:ascii="Arial" w:hAnsi="Arial"/>
                <w:b w:val="0"/>
                <w:i w:val="0"/>
                <w:color w:val="1F2937"/>
                <w:sz w:val="18"/>
              </w:rPr>
              <w:t>P0</w:t>
            </w:r>
          </w:p>
        </w:tc>
        <w:tc>
          <w:tcPr>
            <w:tcW w:type="dxa" w:w="2050"/>
            <w:tcMar>
              <w:top w:w="80" w:type="dxa"/>
              <w:start w:w="120" w:type="dxa"/>
              <w:bottom w:w="80" w:type="dxa"/>
              <w:end w:w="120" w:type="dxa"/>
            </w:tcMar>
          </w:tcPr>
          <w:p>
            <w:pPr>
              <w:spacing w:before="0" w:after="0" w:line="252" w:lineRule="auto"/>
              <w:jc w:val="left"/>
            </w:pPr>
            <w:r/>
            <w:r>
              <w:rPr>
                <w:rFonts w:ascii="Arial" w:hAnsi="Arial"/>
                <w:b w:val="0"/>
                <w:i w:val="0"/>
                <w:color w:val="1F2937"/>
                <w:sz w:val="18"/>
              </w:rPr>
              <w:t>AccountCreation v1</w:t>
            </w:r>
          </w:p>
        </w:tc>
        <w:tc>
          <w:tcPr>
            <w:tcW w:type="dxa" w:w="1400"/>
            <w:shd w:fill="FDECEC"/>
            <w:tcMar>
              <w:top w:w="80" w:type="dxa"/>
              <w:start w:w="120" w:type="dxa"/>
              <w:bottom w:w="80" w:type="dxa"/>
              <w:end w:w="120" w:type="dxa"/>
            </w:tcMar>
          </w:tcPr>
          <w:p>
            <w:pPr>
              <w:spacing w:before="0" w:after="0" w:line="252" w:lineRule="auto"/>
              <w:jc w:val="center"/>
            </w:pPr>
            <w:r/>
            <w:r>
              <w:rPr>
                <w:rFonts w:ascii="Arial" w:hAnsi="Arial"/>
                <w:b/>
                <w:i w:val="0"/>
                <w:color w:val="C53030"/>
                <w:sz w:val="19"/>
              </w:rPr>
              <w:t>Blocker</w:t>
            </w:r>
          </w:p>
        </w:tc>
        <w:tc>
          <w:tcPr>
            <w:tcW w:type="dxa" w:w="4860"/>
            <w:tcMar>
              <w:top w:w="80" w:type="dxa"/>
              <w:start w:w="120" w:type="dxa"/>
              <w:bottom w:w="80" w:type="dxa"/>
              <w:end w:w="120" w:type="dxa"/>
            </w:tcMar>
          </w:tcPr>
          <w:p>
            <w:pPr>
              <w:spacing w:before="0" w:after="0" w:line="252" w:lineRule="auto"/>
              <w:jc w:val="left"/>
            </w:pPr>
            <w:r/>
            <w:r>
              <w:rPr>
                <w:rFonts w:ascii="Arial" w:hAnsi="Arial"/>
                <w:b w:val="0"/>
                <w:i w:val="0"/>
                <w:color w:val="1F2937"/>
                <w:sz w:val="18"/>
              </w:rPr>
              <w:t>The only Data Mapper record is inactive; runtime resolution was not executed during this read-only review.</w:t>
            </w:r>
          </w:p>
        </w:tc>
      </w:tr>
      <w:tr>
        <w:tc>
          <w:tcPr>
            <w:tcW w:type="dxa" w:w="1050"/>
            <w:tcMar>
              <w:top w:w="80" w:type="dxa"/>
              <w:start w:w="120" w:type="dxa"/>
              <w:bottom w:w="80" w:type="dxa"/>
              <w:end w:w="120" w:type="dxa"/>
            </w:tcMar>
          </w:tcPr>
          <w:p>
            <w:pPr>
              <w:spacing w:before="0" w:after="0" w:line="252" w:lineRule="auto"/>
              <w:jc w:val="left"/>
            </w:pPr>
            <w:r/>
            <w:r>
              <w:rPr>
                <w:rFonts w:ascii="Arial" w:hAnsi="Arial"/>
                <w:b w:val="0"/>
                <w:i w:val="0"/>
                <w:color w:val="1F2937"/>
                <w:sz w:val="18"/>
              </w:rPr>
              <w:t>P1</w:t>
            </w:r>
          </w:p>
        </w:tc>
        <w:tc>
          <w:tcPr>
            <w:tcW w:type="dxa" w:w="2050"/>
            <w:tcMar>
              <w:top w:w="80" w:type="dxa"/>
              <w:start w:w="120" w:type="dxa"/>
              <w:bottom w:w="80" w:type="dxa"/>
              <w:end w:w="120" w:type="dxa"/>
            </w:tcMar>
          </w:tcPr>
          <w:p>
            <w:pPr>
              <w:spacing w:before="0" w:after="0" w:line="252" w:lineRule="auto"/>
              <w:jc w:val="left"/>
            </w:pPr>
            <w:r/>
            <w:r>
              <w:rPr>
                <w:rFonts w:ascii="Arial" w:hAnsi="Arial"/>
                <w:b w:val="0"/>
                <w:i w:val="0"/>
                <w:color w:val="1F2937"/>
                <w:sz w:val="18"/>
              </w:rPr>
              <w:t>SQ/OrderPipeline v5</w:t>
            </w:r>
          </w:p>
        </w:tc>
        <w:tc>
          <w:tcPr>
            <w:tcW w:type="dxa" w:w="140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Verified</w:t>
            </w:r>
          </w:p>
        </w:tc>
        <w:tc>
          <w:tcPr>
            <w:tcW w:type="dxa" w:w="4860"/>
            <w:tcMar>
              <w:top w:w="80" w:type="dxa"/>
              <w:start w:w="120" w:type="dxa"/>
              <w:bottom w:w="80" w:type="dxa"/>
              <w:end w:w="120" w:type="dxa"/>
            </w:tcMar>
          </w:tcPr>
          <w:p>
            <w:pPr>
              <w:spacing w:before="0" w:after="0" w:line="252" w:lineRule="auto"/>
              <w:jc w:val="left"/>
            </w:pPr>
            <w:r/>
            <w:r>
              <w:rPr>
                <w:rFonts w:ascii="Arial" w:hAnsi="Arial"/>
                <w:b w:val="0"/>
                <w:i w:val="0"/>
                <w:color w:val="1F2937"/>
                <w:sz w:val="18"/>
              </w:rPr>
              <w:t>Active Consumer action supplies Residential, Consumer, and Residential fallback inputs.</w:t>
            </w:r>
          </w:p>
        </w:tc>
      </w:tr>
      <w:tr>
        <w:tc>
          <w:tcPr>
            <w:tcW w:type="dxa" w:w="1050"/>
            <w:tcMar>
              <w:top w:w="80" w:type="dxa"/>
              <w:start w:w="120" w:type="dxa"/>
              <w:bottom w:w="80" w:type="dxa"/>
              <w:end w:w="120" w:type="dxa"/>
            </w:tcMar>
          </w:tcPr>
          <w:p>
            <w:pPr>
              <w:spacing w:before="0" w:after="0" w:line="252" w:lineRule="auto"/>
              <w:jc w:val="left"/>
            </w:pPr>
            <w:r/>
            <w:r>
              <w:rPr>
                <w:rFonts w:ascii="Arial" w:hAnsi="Arial"/>
                <w:b w:val="0"/>
                <w:i w:val="0"/>
                <w:color w:val="1F2937"/>
                <w:sz w:val="18"/>
              </w:rPr>
              <w:t>P1</w:t>
            </w:r>
          </w:p>
        </w:tc>
        <w:tc>
          <w:tcPr>
            <w:tcW w:type="dxa" w:w="2050"/>
            <w:tcMar>
              <w:top w:w="80" w:type="dxa"/>
              <w:start w:w="120" w:type="dxa"/>
              <w:bottom w:w="80" w:type="dxa"/>
              <w:end w:w="120" w:type="dxa"/>
            </w:tcMar>
          </w:tcPr>
          <w:p>
            <w:pPr>
              <w:spacing w:before="0" w:after="0" w:line="252" w:lineRule="auto"/>
              <w:jc w:val="left"/>
            </w:pPr>
            <w:r/>
            <w:r>
              <w:rPr>
                <w:rFonts w:ascii="Arial" w:hAnsi="Arial"/>
                <w:b w:val="0"/>
                <w:i w:val="0"/>
                <w:color w:val="1F2937"/>
                <w:sz w:val="18"/>
              </w:rPr>
              <w:t>MDU classification</w:t>
            </w:r>
          </w:p>
        </w:tc>
        <w:tc>
          <w:tcPr>
            <w:tcW w:type="dxa" w:w="140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Verified</w:t>
            </w:r>
          </w:p>
        </w:tc>
        <w:tc>
          <w:tcPr>
            <w:tcW w:type="dxa" w:w="4860"/>
            <w:tcMar>
              <w:top w:w="80" w:type="dxa"/>
              <w:start w:w="120" w:type="dxa"/>
              <w:bottom w:w="80" w:type="dxa"/>
              <w:end w:w="120" w:type="dxa"/>
            </w:tcMar>
          </w:tcPr>
          <w:p>
            <w:pPr>
              <w:spacing w:before="0" w:after="0" w:line="252" w:lineRule="auto"/>
              <w:jc w:val="left"/>
            </w:pPr>
            <w:r/>
            <w:r>
              <w:rPr>
                <w:rFonts w:ascii="Arial" w:hAnsi="Arial"/>
                <w:b w:val="0"/>
                <w:i w:val="0"/>
                <w:color w:val="1F2937"/>
                <w:sz w:val="18"/>
              </w:rPr>
              <w:t>Formula detects documented MDU building types or Type = Unit and returns MDU Tenant.</w:t>
            </w:r>
          </w:p>
        </w:tc>
      </w:tr>
      <w:tr>
        <w:tc>
          <w:tcPr>
            <w:tcW w:type="dxa" w:w="1050"/>
            <w:tcMar>
              <w:top w:w="80" w:type="dxa"/>
              <w:start w:w="120" w:type="dxa"/>
              <w:bottom w:w="80" w:type="dxa"/>
              <w:end w:w="120" w:type="dxa"/>
            </w:tcMar>
          </w:tcPr>
          <w:p>
            <w:pPr>
              <w:spacing w:before="0" w:after="0" w:line="252" w:lineRule="auto"/>
              <w:jc w:val="left"/>
            </w:pPr>
            <w:r/>
            <w:r>
              <w:rPr>
                <w:rFonts w:ascii="Arial" w:hAnsi="Arial"/>
                <w:b w:val="0"/>
                <w:i w:val="0"/>
                <w:color w:val="1F2937"/>
                <w:sz w:val="18"/>
              </w:rPr>
              <w:t>P1</w:t>
            </w:r>
          </w:p>
        </w:tc>
        <w:tc>
          <w:tcPr>
            <w:tcW w:type="dxa" w:w="2050"/>
            <w:tcMar>
              <w:top w:w="80" w:type="dxa"/>
              <w:start w:w="120" w:type="dxa"/>
              <w:bottom w:w="80" w:type="dxa"/>
              <w:end w:w="120" w:type="dxa"/>
            </w:tcMar>
          </w:tcPr>
          <w:p>
            <w:pPr>
              <w:spacing w:before="0" w:after="0" w:line="252" w:lineRule="auto"/>
              <w:jc w:val="left"/>
            </w:pPr>
            <w:r/>
            <w:r>
              <w:rPr>
                <w:rFonts w:ascii="Arial" w:hAnsi="Arial"/>
                <w:b w:val="0"/>
                <w:i w:val="0"/>
                <w:color w:val="1F2937"/>
                <w:sz w:val="18"/>
              </w:rPr>
              <w:t>Account mappings</w:t>
            </w:r>
          </w:p>
        </w:tc>
        <w:tc>
          <w:tcPr>
            <w:tcW w:type="dxa" w:w="140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Verified</w:t>
            </w:r>
          </w:p>
        </w:tc>
        <w:tc>
          <w:tcPr>
            <w:tcW w:type="dxa" w:w="4860"/>
            <w:tcMar>
              <w:top w:w="80" w:type="dxa"/>
              <w:start w:w="120" w:type="dxa"/>
              <w:bottom w:w="80" w:type="dxa"/>
              <w:end w:w="120" w:type="dxa"/>
            </w:tcMar>
          </w:tcPr>
          <w:p>
            <w:pPr>
              <w:spacing w:before="0" w:after="0" w:line="252" w:lineRule="auto"/>
              <w:jc w:val="left"/>
            </w:pPr>
            <w:r/>
            <w:r>
              <w:rPr>
                <w:rFonts w:ascii="Arial" w:hAnsi="Arial"/>
                <w:b w:val="0"/>
                <w:i w:val="0"/>
                <w:color w:val="1F2937"/>
                <w:sz w:val="18"/>
              </w:rPr>
              <w:t>All three target Account fields have enabled mappings and valid picklist values.</w:t>
            </w:r>
          </w:p>
        </w:tc>
      </w:tr>
      <w:tr>
        <w:tc>
          <w:tcPr>
            <w:tcW w:type="dxa" w:w="1050"/>
            <w:tcMar>
              <w:top w:w="80" w:type="dxa"/>
              <w:start w:w="120" w:type="dxa"/>
              <w:bottom w:w="80" w:type="dxa"/>
              <w:end w:w="120" w:type="dxa"/>
            </w:tcMar>
          </w:tcPr>
          <w:p>
            <w:pPr>
              <w:spacing w:before="0" w:after="0" w:line="252" w:lineRule="auto"/>
              <w:jc w:val="left"/>
            </w:pPr>
            <w:r/>
            <w:r>
              <w:rPr>
                <w:rFonts w:ascii="Arial" w:hAnsi="Arial"/>
                <w:b w:val="0"/>
                <w:i w:val="0"/>
                <w:color w:val="1F2937"/>
                <w:sz w:val="18"/>
              </w:rPr>
              <w:t>P1</w:t>
            </w:r>
          </w:p>
        </w:tc>
        <w:tc>
          <w:tcPr>
            <w:tcW w:type="dxa" w:w="2050"/>
            <w:tcMar>
              <w:top w:w="80" w:type="dxa"/>
              <w:start w:w="120" w:type="dxa"/>
              <w:bottom w:w="80" w:type="dxa"/>
              <w:end w:w="120" w:type="dxa"/>
            </w:tcMar>
          </w:tcPr>
          <w:p>
            <w:pPr>
              <w:spacing w:before="0" w:after="0" w:line="252" w:lineRule="auto"/>
              <w:jc w:val="left"/>
            </w:pPr>
            <w:r/>
            <w:r>
              <w:rPr>
                <w:rFonts w:ascii="Arial" w:hAnsi="Arial"/>
                <w:b w:val="0"/>
                <w:i w:val="0"/>
                <w:color w:val="1F2937"/>
                <w:sz w:val="18"/>
              </w:rPr>
              <w:t>PR evidence</w:t>
            </w:r>
          </w:p>
        </w:tc>
        <w:tc>
          <w:tcPr>
            <w:tcW w:type="dxa" w:w="1400"/>
            <w:shd w:fill="FDECEC"/>
            <w:tcMar>
              <w:top w:w="80" w:type="dxa"/>
              <w:start w:w="120" w:type="dxa"/>
              <w:bottom w:w="80" w:type="dxa"/>
              <w:end w:w="120" w:type="dxa"/>
            </w:tcMar>
          </w:tcPr>
          <w:p>
            <w:pPr>
              <w:spacing w:before="0" w:after="0" w:line="252" w:lineRule="auto"/>
              <w:jc w:val="center"/>
            </w:pPr>
            <w:r/>
            <w:r>
              <w:rPr>
                <w:rFonts w:ascii="Arial" w:hAnsi="Arial"/>
                <w:b/>
                <w:i w:val="0"/>
                <w:color w:val="C53030"/>
                <w:sz w:val="19"/>
              </w:rPr>
              <w:t>Blocked</w:t>
            </w:r>
          </w:p>
        </w:tc>
        <w:tc>
          <w:tcPr>
            <w:tcW w:type="dxa" w:w="4860"/>
            <w:tcMar>
              <w:top w:w="80" w:type="dxa"/>
              <w:start w:w="120" w:type="dxa"/>
              <w:bottom w:w="80" w:type="dxa"/>
              <w:end w:w="120" w:type="dxa"/>
            </w:tcMar>
          </w:tcPr>
          <w:p>
            <w:pPr>
              <w:spacing w:before="0" w:after="0" w:line="252" w:lineRule="auto"/>
              <w:jc w:val="left"/>
            </w:pPr>
            <w:r/>
            <w:r>
              <w:rPr>
                <w:rFonts w:ascii="Arial" w:hAnsi="Arial"/>
                <w:b w:val="0"/>
                <w:i w:val="0"/>
                <w:color w:val="1F2937"/>
                <w:sz w:val="18"/>
              </w:rPr>
              <w:t>No PR URL, branch, commit, or exported DataPack diff was supplied for line-by-line review.</w:t>
            </w:r>
          </w:p>
        </w:tc>
      </w:tr>
    </w:tbl>
    <w:p>
      <w:pPr>
        <w:spacing w:after="20"/>
      </w:pPr>
    </w:p>
    <w:p>
      <w:r>
        <w:br w:type="page"/>
      </w:r>
    </w:p>
    <w:p>
      <w:pPr>
        <w:pStyle w:val="Heading1"/>
        <w:keepNext/>
      </w:pPr>
      <w:r>
        <w:t>Implemented path and remaining gate</w:t>
      </w:r>
    </w:p>
    <w:p>
      <w:pPr>
        <w:spacing w:after="120" w:line="264" w:lineRule="auto"/>
      </w:pPr>
      <w:r>
        <w:rPr>
          <w:rFonts w:ascii="Arial" w:hAnsi="Arial"/>
          <w:b w:val="0"/>
          <w:i w:val="0"/>
          <w:color w:val="1F2937"/>
          <w:sz w:val="22"/>
        </w:rPr>
        <w:t>DevA now classifies the documented Place variants inside AccountCreation, maps the derived values to the Consumer Account, and preserves Residential fallback behavior. The outstanding gate is evidence that the inactive Data Mapper is the version executed by active SQ/OrderPipeline v5.</w:t>
      </w:r>
    </w:p>
    <w:p>
      <w:pPr>
        <w:keepNext/>
        <w:jc w:val="center"/>
      </w:pPr>
      <w:r>
        <w:drawing>
          <wp:inline xmlns:a="http://schemas.openxmlformats.org/drawingml/2006/main" xmlns:pic="http://schemas.openxmlformats.org/drawingml/2006/picture">
            <wp:extent cx="5897880" cy="3686175"/>
            <wp:docPr id="1" name="Picture 1" title="Figure 1. SCC-4485 DevA implementation and remaining PR gate" descr="Diagram showing buy-flow Place inputs, MDU classification, the three Account values, and the remaining Data Mapper activation, PR-diff, and runtime-evidence gates."/>
            <wp:cNvGraphicFramePr>
              <a:graphicFrameLocks noChangeAspect="1"/>
            </wp:cNvGraphicFramePr>
            <a:graphic>
              <a:graphicData uri="http://schemas.openxmlformats.org/drawingml/2006/picture">
                <pic:pic>
                  <pic:nvPicPr>
                    <pic:cNvPr id="0" name="scc4485-deva-review-path.png"/>
                    <pic:cNvPicPr/>
                  </pic:nvPicPr>
                  <pic:blipFill>
                    <a:blip r:embed="rId17"/>
                    <a:stretch>
                      <a:fillRect/>
                    </a:stretch>
                  </pic:blipFill>
                  <pic:spPr>
                    <a:xfrm>
                      <a:off x="0" y="0"/>
                      <a:ext cx="5897880" cy="3686175"/>
                    </a:xfrm>
                    <a:prstGeom prst="rect"/>
                  </pic:spPr>
                </pic:pic>
              </a:graphicData>
            </a:graphic>
          </wp:inline>
        </w:drawing>
      </w:r>
    </w:p>
    <w:p>
      <w:pPr>
        <w:keepNext/>
        <w:spacing w:before="40" w:after="160"/>
        <w:jc w:val="center"/>
      </w:pPr>
      <w:r>
        <w:rPr>
          <w:rFonts w:ascii="Arial" w:hAnsi="Arial"/>
          <w:b w:val="0"/>
          <w:i/>
          <w:color w:val="5B6777"/>
          <w:sz w:val="18"/>
        </w:rPr>
        <w:t>Figure 1. SCC-4485 DevA implementation and remaining PR gate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A"/>
          </w:tcPr>
          <w:p>
            <w:pPr>
              <w:spacing w:after="40"/>
            </w:pPr>
            <w:r>
              <w:rPr>
                <w:rFonts w:ascii="Arial" w:hAnsi="Arial"/>
                <w:b/>
                <w:i w:val="0"/>
                <w:color w:val="2E74B5"/>
                <w:sz w:val="18"/>
              </w:rPr>
              <w:t>REVIEWER INTERPRETATION</w:t>
            </w:r>
          </w:p>
          <w:p>
            <w:pPr>
              <w:spacing w:after="0" w:line="259" w:lineRule="auto"/>
            </w:pPr>
            <w:r>
              <w:rPr>
                <w:rFonts w:ascii="Arial" w:hAnsi="Arial"/>
                <w:b/>
                <w:i w:val="0"/>
                <w:color w:val="0B2545"/>
                <w:sz w:val="22"/>
              </w:rPr>
              <w:t>The implementation correctly centralizes Segment classification in AccountCreation and keeps the Consumer action explicit. Salesforce guidance requires an active Data Mapper for runtime use when versioning is enforced; DevA exposes AccountCreation as inactive, so the PR must remove that ambiguity.</w:t>
            </w:r>
          </w:p>
        </w:tc>
      </w:tr>
    </w:tbl>
    <w:p>
      <w:pPr>
        <w:spacing w:after="20"/>
      </w:pPr>
    </w:p>
    <w:p>
      <w:r>
        <w:br w:type="page"/>
      </w:r>
    </w:p>
    <w:p>
      <w:pPr>
        <w:pStyle w:val="Heading1"/>
        <w:keepNext/>
      </w:pPr>
      <w:r>
        <w:t>Detailed PR findings</w:t>
      </w:r>
    </w:p>
    <w:tbl>
      <w:tblPr>
        <w:tblStyle w:val="TableGrid"/>
        <w:tblW w:type="dxa" w:w="9360"/>
        <w:jc w:val="left"/>
        <w:tblLayout w:type="fixed"/>
        <w:tblLook w:firstColumn="1" w:firstRow="1" w:lastColumn="0" w:lastRow="0" w:noHBand="0" w:noVBand="1" w:val="04A0"/>
        <w:tblInd w:w="120" w:type="dxa"/>
      </w:tblPr>
      <w:tblGrid>
        <w:gridCol w:w="650"/>
        <w:gridCol w:w="1050"/>
        <w:gridCol w:w="2100"/>
        <w:gridCol w:w="2880"/>
        <w:gridCol w:w="2680"/>
      </w:tblGrid>
      <w:tr>
        <w:trPr>
          <w:tblHeader w:val="true"/>
        </w:trPr>
        <w:tc>
          <w:tcPr>
            <w:tcW w:type="dxa" w:w="65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ID</w:t>
            </w:r>
          </w:p>
        </w:tc>
        <w:tc>
          <w:tcPr>
            <w:tcW w:type="dxa" w:w="105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Severity</w:t>
            </w:r>
          </w:p>
        </w:tc>
        <w:tc>
          <w:tcPr>
            <w:tcW w:type="dxa" w:w="21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Component / location</w:t>
            </w:r>
          </w:p>
        </w:tc>
        <w:tc>
          <w:tcPr>
            <w:tcW w:type="dxa" w:w="288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Evidence</w:t>
            </w:r>
          </w:p>
        </w:tc>
        <w:tc>
          <w:tcPr>
            <w:tcW w:type="dxa" w:w="268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Reviewer action</w:t>
            </w:r>
          </w:p>
        </w:tc>
      </w:tr>
      <w:tr>
        <w:tc>
          <w:tcPr>
            <w:tcW w:type="dxa" w:w="650"/>
            <w:tcMar>
              <w:top w:w="80" w:type="dxa"/>
              <w:start w:w="120" w:type="dxa"/>
              <w:bottom w:w="80" w:type="dxa"/>
              <w:end w:w="120" w:type="dxa"/>
            </w:tcMar>
          </w:tcPr>
          <w:p>
            <w:pPr>
              <w:spacing w:before="0" w:after="0" w:line="252" w:lineRule="auto"/>
              <w:jc w:val="left"/>
            </w:pPr>
            <w:r/>
            <w:r>
              <w:rPr>
                <w:rFonts w:ascii="Arial" w:hAnsi="Arial"/>
                <w:b w:val="0"/>
                <w:i w:val="0"/>
                <w:color w:val="1F2937"/>
                <w:sz w:val="18"/>
              </w:rPr>
              <w:t>PR-01</w:t>
            </w:r>
          </w:p>
        </w:tc>
        <w:tc>
          <w:tcPr>
            <w:tcW w:type="dxa" w:w="1050"/>
            <w:tcMar>
              <w:top w:w="80" w:type="dxa"/>
              <w:start w:w="120" w:type="dxa"/>
              <w:bottom w:w="80" w:type="dxa"/>
              <w:end w:w="120" w:type="dxa"/>
            </w:tcMar>
          </w:tcPr>
          <w:p>
            <w:pPr>
              <w:spacing w:before="0" w:after="0" w:line="252" w:lineRule="auto"/>
              <w:jc w:val="left"/>
            </w:pPr>
            <w:r/>
            <w:r>
              <w:rPr>
                <w:rFonts w:ascii="Arial" w:hAnsi="Arial"/>
                <w:b w:val="0"/>
                <w:i w:val="0"/>
                <w:color w:val="1F2937"/>
                <w:sz w:val="18"/>
              </w:rPr>
              <w:t>P0</w:t>
            </w:r>
          </w:p>
        </w:tc>
        <w:tc>
          <w:tcPr>
            <w:tcW w:type="dxa" w:w="2100"/>
            <w:tcMar>
              <w:top w:w="80" w:type="dxa"/>
              <w:start w:w="120" w:type="dxa"/>
              <w:bottom w:w="80" w:type="dxa"/>
              <w:end w:w="120" w:type="dxa"/>
            </w:tcMar>
          </w:tcPr>
          <w:p>
            <w:pPr>
              <w:spacing w:before="0" w:after="0" w:line="252" w:lineRule="auto"/>
              <w:jc w:val="left"/>
            </w:pPr>
            <w:r/>
            <w:r>
              <w:rPr>
                <w:rFonts w:ascii="Arial" w:hAnsi="Arial"/>
                <w:b w:val="0"/>
                <w:i w:val="0"/>
                <w:color w:val="1F2937"/>
                <w:sz w:val="18"/>
              </w:rPr>
              <w:t>AccountCreation v1 state</w:t>
            </w:r>
          </w:p>
        </w:tc>
        <w:tc>
          <w:tcPr>
            <w:tcW w:type="dxa" w:w="2880"/>
            <w:tcMar>
              <w:top w:w="80" w:type="dxa"/>
              <w:start w:w="120" w:type="dxa"/>
              <w:bottom w:w="80" w:type="dxa"/>
              <w:end w:w="120" w:type="dxa"/>
            </w:tcMar>
          </w:tcPr>
          <w:p>
            <w:pPr>
              <w:spacing w:before="0" w:after="0" w:line="252" w:lineRule="auto"/>
              <w:jc w:val="left"/>
            </w:pPr>
            <w:r/>
            <w:r>
              <w:rPr>
                <w:rFonts w:ascii="Arial" w:hAnsi="Arial"/>
                <w:b w:val="0"/>
                <w:i w:val="0"/>
                <w:color w:val="1F2937"/>
                <w:sz w:val="18"/>
              </w:rPr>
              <w:t>The only AccountCreation Load record is IsActive = false, last modified 28 August 2026 by API Service. Active SQ/OrderPipeline v5 references it by bundle name.</w:t>
            </w:r>
          </w:p>
        </w:tc>
        <w:tc>
          <w:tcPr>
            <w:tcW w:type="dxa" w:w="2680"/>
            <w:tcMar>
              <w:top w:w="80" w:type="dxa"/>
              <w:start w:w="120" w:type="dxa"/>
              <w:bottom w:w="80" w:type="dxa"/>
              <w:end w:w="120" w:type="dxa"/>
            </w:tcMar>
          </w:tcPr>
          <w:p>
            <w:pPr>
              <w:spacing w:before="0" w:after="0" w:line="252" w:lineRule="auto"/>
              <w:jc w:val="left"/>
            </w:pPr>
            <w:r/>
            <w:r>
              <w:rPr>
                <w:rFonts w:ascii="Arial" w:hAnsi="Arial"/>
                <w:b w:val="0"/>
                <w:i w:val="0"/>
                <w:color w:val="1F2937"/>
                <w:sz w:val="18"/>
              </w:rPr>
              <w:t>Activate the intended Data Mapper version, or attach runtime/versioning evidence proving this exact inactive record resolves and executes safely after deployment.</w:t>
            </w:r>
          </w:p>
        </w:tc>
      </w:tr>
      <w:tr>
        <w:tc>
          <w:tcPr>
            <w:tcW w:type="dxa" w:w="650"/>
            <w:tcMar>
              <w:top w:w="80" w:type="dxa"/>
              <w:start w:w="120" w:type="dxa"/>
              <w:bottom w:w="80" w:type="dxa"/>
              <w:end w:w="120" w:type="dxa"/>
            </w:tcMar>
          </w:tcPr>
          <w:p>
            <w:pPr>
              <w:spacing w:before="0" w:after="0" w:line="252" w:lineRule="auto"/>
              <w:jc w:val="left"/>
            </w:pPr>
            <w:r/>
            <w:r>
              <w:rPr>
                <w:rFonts w:ascii="Arial" w:hAnsi="Arial"/>
                <w:b w:val="0"/>
                <w:i w:val="0"/>
                <w:color w:val="1F2937"/>
                <w:sz w:val="18"/>
              </w:rPr>
              <w:t>PR-02</w:t>
            </w:r>
          </w:p>
        </w:tc>
        <w:tc>
          <w:tcPr>
            <w:tcW w:type="dxa" w:w="1050"/>
            <w:tcMar>
              <w:top w:w="80" w:type="dxa"/>
              <w:start w:w="120" w:type="dxa"/>
              <w:bottom w:w="80" w:type="dxa"/>
              <w:end w:w="120" w:type="dxa"/>
            </w:tcMar>
          </w:tcPr>
          <w:p>
            <w:pPr>
              <w:spacing w:before="0" w:after="0" w:line="252" w:lineRule="auto"/>
              <w:jc w:val="left"/>
            </w:pPr>
            <w:r/>
            <w:r>
              <w:rPr>
                <w:rFonts w:ascii="Arial" w:hAnsi="Arial"/>
                <w:b w:val="0"/>
                <w:i w:val="0"/>
                <w:color w:val="1F2937"/>
                <w:sz w:val="18"/>
              </w:rPr>
              <w:t>P1</w:t>
            </w:r>
          </w:p>
        </w:tc>
        <w:tc>
          <w:tcPr>
            <w:tcW w:type="dxa" w:w="2100"/>
            <w:tcMar>
              <w:top w:w="80" w:type="dxa"/>
              <w:start w:w="120" w:type="dxa"/>
              <w:bottom w:w="80" w:type="dxa"/>
              <w:end w:w="120" w:type="dxa"/>
            </w:tcMar>
          </w:tcPr>
          <w:p>
            <w:pPr>
              <w:spacing w:before="0" w:after="0" w:line="252" w:lineRule="auto"/>
              <w:jc w:val="left"/>
            </w:pPr>
            <w:r/>
            <w:r>
              <w:rPr>
                <w:rFonts w:ascii="Arial" w:hAnsi="Arial"/>
                <w:b w:val="0"/>
                <w:i w:val="0"/>
                <w:color w:val="1F2937"/>
                <w:sz w:val="18"/>
              </w:rPr>
              <w:t>AccountCreation &gt; SegmentValue</w:t>
            </w:r>
          </w:p>
        </w:tc>
        <w:tc>
          <w:tcPr>
            <w:tcW w:type="dxa" w:w="2880"/>
            <w:tcMar>
              <w:top w:w="80" w:type="dxa"/>
              <w:start w:w="120" w:type="dxa"/>
              <w:bottom w:w="80" w:type="dxa"/>
              <w:end w:w="120" w:type="dxa"/>
            </w:tcMar>
          </w:tcPr>
          <w:p>
            <w:pPr>
              <w:spacing w:before="0" w:after="0" w:line="252" w:lineRule="auto"/>
              <w:jc w:val="left"/>
            </w:pPr>
            <w:r/>
            <w:r>
              <w:rPr>
                <w:rFonts w:ascii="Arial" w:hAnsi="Arial"/>
                <w:b w:val="0"/>
                <w:i w:val="0"/>
                <w:color w:val="1F2937"/>
                <w:sz w:val="18"/>
              </w:rPr>
              <w:t>The enabled formula recognizes MDU, MDU Tenant, Multi-Family, Multifamily, or Type = Unit across SQResponse and sqJson paths; otherwise it uses Segment or Residential.</w:t>
            </w:r>
          </w:p>
        </w:tc>
        <w:tc>
          <w:tcPr>
            <w:tcW w:type="dxa" w:w="2680"/>
            <w:tcMar>
              <w:top w:w="80" w:type="dxa"/>
              <w:start w:w="120" w:type="dxa"/>
              <w:bottom w:w="80" w:type="dxa"/>
              <w:end w:w="120" w:type="dxa"/>
            </w:tcMar>
          </w:tcPr>
          <w:p>
            <w:pPr>
              <w:spacing w:before="0" w:after="0" w:line="252" w:lineRule="auto"/>
              <w:jc w:val="left"/>
            </w:pPr>
            <w:r/>
            <w:r>
              <w:rPr>
                <w:rFonts w:ascii="Arial" w:hAnsi="Arial"/>
                <w:b w:val="0"/>
                <w:i w:val="0"/>
                <w:color w:val="1F2937"/>
                <w:sz w:val="18"/>
              </w:rPr>
              <w:t>No acceptance-criteria change required. Preserve this formula and its SegmentValue -&gt; Segment__c mapping in the PR diff.</w:t>
            </w:r>
          </w:p>
        </w:tc>
      </w:tr>
      <w:tr>
        <w:tc>
          <w:tcPr>
            <w:tcW w:type="dxa" w:w="650"/>
            <w:tcMar>
              <w:top w:w="80" w:type="dxa"/>
              <w:start w:w="120" w:type="dxa"/>
              <w:bottom w:w="80" w:type="dxa"/>
              <w:end w:w="120" w:type="dxa"/>
            </w:tcMar>
          </w:tcPr>
          <w:p>
            <w:pPr>
              <w:spacing w:before="0" w:after="0" w:line="252" w:lineRule="auto"/>
              <w:jc w:val="left"/>
            </w:pPr>
            <w:r/>
            <w:r>
              <w:rPr>
                <w:rFonts w:ascii="Arial" w:hAnsi="Arial"/>
                <w:b w:val="0"/>
                <w:i w:val="0"/>
                <w:color w:val="1F2937"/>
                <w:sz w:val="18"/>
              </w:rPr>
              <w:t>PR-03</w:t>
            </w:r>
          </w:p>
        </w:tc>
        <w:tc>
          <w:tcPr>
            <w:tcW w:type="dxa" w:w="1050"/>
            <w:tcMar>
              <w:top w:w="80" w:type="dxa"/>
              <w:start w:w="120" w:type="dxa"/>
              <w:bottom w:w="80" w:type="dxa"/>
              <w:end w:w="120" w:type="dxa"/>
            </w:tcMar>
          </w:tcPr>
          <w:p>
            <w:pPr>
              <w:spacing w:before="0" w:after="0" w:line="252" w:lineRule="auto"/>
              <w:jc w:val="left"/>
            </w:pPr>
            <w:r/>
            <w:r>
              <w:rPr>
                <w:rFonts w:ascii="Arial" w:hAnsi="Arial"/>
                <w:b w:val="0"/>
                <w:i w:val="0"/>
                <w:color w:val="1F2937"/>
                <w:sz w:val="18"/>
              </w:rPr>
              <w:t>P1</w:t>
            </w:r>
          </w:p>
        </w:tc>
        <w:tc>
          <w:tcPr>
            <w:tcW w:type="dxa" w:w="2100"/>
            <w:tcMar>
              <w:top w:w="80" w:type="dxa"/>
              <w:start w:w="120" w:type="dxa"/>
              <w:bottom w:w="80" w:type="dxa"/>
              <w:end w:w="120" w:type="dxa"/>
            </w:tcMar>
          </w:tcPr>
          <w:p>
            <w:pPr>
              <w:spacing w:before="0" w:after="0" w:line="252" w:lineRule="auto"/>
              <w:jc w:val="left"/>
            </w:pPr>
            <w:r/>
            <w:r>
              <w:rPr>
                <w:rFonts w:ascii="Arial" w:hAnsi="Arial"/>
                <w:b w:val="0"/>
                <w:i w:val="0"/>
                <w:color w:val="1F2937"/>
                <w:sz w:val="18"/>
              </w:rPr>
              <w:t>AccountCreation &gt; Customer Type</w:t>
            </w:r>
          </w:p>
        </w:tc>
        <w:tc>
          <w:tcPr>
            <w:tcW w:type="dxa" w:w="2880"/>
            <w:tcMar>
              <w:top w:w="80" w:type="dxa"/>
              <w:start w:w="120" w:type="dxa"/>
              <w:bottom w:w="80" w:type="dxa"/>
              <w:end w:w="120" w:type="dxa"/>
            </w:tcMar>
          </w:tcPr>
          <w:p>
            <w:pPr>
              <w:spacing w:before="0" w:after="0" w:line="252" w:lineRule="auto"/>
              <w:jc w:val="left"/>
            </w:pPr>
            <w:r/>
            <w:r>
              <w:rPr>
                <w:rFonts w:ascii="Arial" w:hAnsi="Arial"/>
                <w:b w:val="0"/>
                <w:i w:val="0"/>
                <w:color w:val="1F2937"/>
                <w:sz w:val="18"/>
              </w:rPr>
              <w:t>An enabled formula returns Consumer for the Consumer record type and CustomerTypeValue maps to Customer_Type__c.</w:t>
            </w:r>
          </w:p>
        </w:tc>
        <w:tc>
          <w:tcPr>
            <w:tcW w:type="dxa" w:w="2680"/>
            <w:tcMar>
              <w:top w:w="80" w:type="dxa"/>
              <w:start w:w="120" w:type="dxa"/>
              <w:bottom w:w="80" w:type="dxa"/>
              <w:end w:w="120" w:type="dxa"/>
            </w:tcMar>
          </w:tcPr>
          <w:p>
            <w:pPr>
              <w:spacing w:before="0" w:after="0" w:line="252" w:lineRule="auto"/>
              <w:jc w:val="left"/>
            </w:pPr>
            <w:r/>
            <w:r>
              <w:rPr>
                <w:rFonts w:ascii="Arial" w:hAnsi="Arial"/>
                <w:b w:val="0"/>
                <w:i w:val="0"/>
                <w:color w:val="1F2937"/>
                <w:sz w:val="18"/>
              </w:rPr>
              <w:t>No acceptance-criteria change required. Keep the Consumer-only guard and mapping together in the exported component.</w:t>
            </w:r>
          </w:p>
        </w:tc>
      </w:tr>
      <w:tr>
        <w:tc>
          <w:tcPr>
            <w:tcW w:type="dxa" w:w="650"/>
            <w:tcMar>
              <w:top w:w="80" w:type="dxa"/>
              <w:start w:w="120" w:type="dxa"/>
              <w:bottom w:w="80" w:type="dxa"/>
              <w:end w:w="120" w:type="dxa"/>
            </w:tcMar>
          </w:tcPr>
          <w:p>
            <w:pPr>
              <w:spacing w:before="0" w:after="0" w:line="252" w:lineRule="auto"/>
              <w:jc w:val="left"/>
            </w:pPr>
            <w:r/>
            <w:r>
              <w:rPr>
                <w:rFonts w:ascii="Arial" w:hAnsi="Arial"/>
                <w:b w:val="0"/>
                <w:i w:val="0"/>
                <w:color w:val="1F2937"/>
                <w:sz w:val="18"/>
              </w:rPr>
              <w:t>PR-04</w:t>
            </w:r>
          </w:p>
        </w:tc>
        <w:tc>
          <w:tcPr>
            <w:tcW w:type="dxa" w:w="1050"/>
            <w:tcMar>
              <w:top w:w="80" w:type="dxa"/>
              <w:start w:w="120" w:type="dxa"/>
              <w:bottom w:w="80" w:type="dxa"/>
              <w:end w:w="120" w:type="dxa"/>
            </w:tcMar>
          </w:tcPr>
          <w:p>
            <w:pPr>
              <w:spacing w:before="0" w:after="0" w:line="252" w:lineRule="auto"/>
              <w:jc w:val="left"/>
            </w:pPr>
            <w:r/>
            <w:r>
              <w:rPr>
                <w:rFonts w:ascii="Arial" w:hAnsi="Arial"/>
                <w:b w:val="0"/>
                <w:i w:val="0"/>
                <w:color w:val="1F2937"/>
                <w:sz w:val="18"/>
              </w:rPr>
              <w:t>P1</w:t>
            </w:r>
          </w:p>
        </w:tc>
        <w:tc>
          <w:tcPr>
            <w:tcW w:type="dxa" w:w="2100"/>
            <w:tcMar>
              <w:top w:w="80" w:type="dxa"/>
              <w:start w:w="120" w:type="dxa"/>
              <w:bottom w:w="80" w:type="dxa"/>
              <w:end w:w="120" w:type="dxa"/>
            </w:tcMar>
          </w:tcPr>
          <w:p>
            <w:pPr>
              <w:spacing w:before="0" w:after="0" w:line="252" w:lineRule="auto"/>
              <w:jc w:val="left"/>
            </w:pPr>
            <w:r/>
            <w:r>
              <w:rPr>
                <w:rFonts w:ascii="Arial" w:hAnsi="Arial"/>
                <w:b w:val="0"/>
                <w:i w:val="0"/>
                <w:color w:val="1F2937"/>
                <w:sz w:val="18"/>
              </w:rPr>
              <w:t>SQ/OrderPipeline v5</w:t>
            </w:r>
          </w:p>
        </w:tc>
        <w:tc>
          <w:tcPr>
            <w:tcW w:type="dxa" w:w="2880"/>
            <w:tcMar>
              <w:top w:w="80" w:type="dxa"/>
              <w:start w:w="120" w:type="dxa"/>
              <w:bottom w:w="80" w:type="dxa"/>
              <w:end w:w="120" w:type="dxa"/>
            </w:tcMar>
          </w:tcPr>
          <w:p>
            <w:pPr>
              <w:spacing w:before="0" w:after="0" w:line="252" w:lineRule="auto"/>
              <w:jc w:val="left"/>
            </w:pPr>
            <w:r/>
            <w:r>
              <w:rPr>
                <w:rFonts w:ascii="Arial" w:hAnsi="Arial"/>
                <w:b w:val="0"/>
                <w:i w:val="0"/>
                <w:color w:val="1F2937"/>
                <w:sz w:val="18"/>
              </w:rPr>
              <w:t>CreateConsumerAccount is active and passes LineofBusiness = Residential, CustomerType = Consumer, and Segment = Residential under the Consumer record-type branch.</w:t>
            </w:r>
          </w:p>
        </w:tc>
        <w:tc>
          <w:tcPr>
            <w:tcW w:type="dxa" w:w="2680"/>
            <w:tcMar>
              <w:top w:w="80" w:type="dxa"/>
              <w:start w:w="120" w:type="dxa"/>
              <w:bottom w:w="80" w:type="dxa"/>
              <w:end w:w="120" w:type="dxa"/>
            </w:tcMar>
          </w:tcPr>
          <w:p>
            <w:pPr>
              <w:spacing w:before="0" w:after="0" w:line="252" w:lineRule="auto"/>
              <w:jc w:val="left"/>
            </w:pPr>
            <w:r/>
            <w:r>
              <w:rPr>
                <w:rFonts w:ascii="Arial" w:hAnsi="Arial"/>
                <w:b w:val="0"/>
                <w:i w:val="0"/>
                <w:color w:val="1F2937"/>
                <w:sz w:val="18"/>
              </w:rPr>
              <w:t>Preserve the Consumer-only condition and prove v5 is the version included and activated by the deployment mechanism.</w:t>
            </w:r>
          </w:p>
        </w:tc>
      </w:tr>
      <w:tr>
        <w:tc>
          <w:tcPr>
            <w:tcW w:type="dxa" w:w="650"/>
            <w:tcMar>
              <w:top w:w="80" w:type="dxa"/>
              <w:start w:w="120" w:type="dxa"/>
              <w:bottom w:w="80" w:type="dxa"/>
              <w:end w:w="120" w:type="dxa"/>
            </w:tcMar>
          </w:tcPr>
          <w:p>
            <w:pPr>
              <w:spacing w:before="0" w:after="0" w:line="252" w:lineRule="auto"/>
              <w:jc w:val="left"/>
            </w:pPr>
            <w:r/>
            <w:r>
              <w:rPr>
                <w:rFonts w:ascii="Arial" w:hAnsi="Arial"/>
                <w:b w:val="0"/>
                <w:i w:val="0"/>
                <w:color w:val="1F2937"/>
                <w:sz w:val="18"/>
              </w:rPr>
              <w:t>PR-05</w:t>
            </w:r>
          </w:p>
        </w:tc>
        <w:tc>
          <w:tcPr>
            <w:tcW w:type="dxa" w:w="1050"/>
            <w:tcMar>
              <w:top w:w="80" w:type="dxa"/>
              <w:start w:w="120" w:type="dxa"/>
              <w:bottom w:w="80" w:type="dxa"/>
              <w:end w:w="120" w:type="dxa"/>
            </w:tcMar>
          </w:tcPr>
          <w:p>
            <w:pPr>
              <w:spacing w:before="0" w:after="0" w:line="252" w:lineRule="auto"/>
              <w:jc w:val="left"/>
            </w:pPr>
            <w:r/>
            <w:r>
              <w:rPr>
                <w:rFonts w:ascii="Arial" w:hAnsi="Arial"/>
                <w:b w:val="0"/>
                <w:i w:val="0"/>
                <w:color w:val="1F2937"/>
                <w:sz w:val="18"/>
              </w:rPr>
              <w:t>P2</w:t>
            </w:r>
          </w:p>
        </w:tc>
        <w:tc>
          <w:tcPr>
            <w:tcW w:type="dxa" w:w="2100"/>
            <w:tcMar>
              <w:top w:w="80" w:type="dxa"/>
              <w:start w:w="120" w:type="dxa"/>
              <w:bottom w:w="80" w:type="dxa"/>
              <w:end w:w="120" w:type="dxa"/>
            </w:tcMar>
          </w:tcPr>
          <w:p>
            <w:pPr>
              <w:spacing w:before="0" w:after="0" w:line="252" w:lineRule="auto"/>
              <w:jc w:val="left"/>
            </w:pPr>
            <w:r/>
            <w:r>
              <w:rPr>
                <w:rFonts w:ascii="Arial" w:hAnsi="Arial"/>
                <w:b w:val="0"/>
                <w:i w:val="0"/>
                <w:color w:val="1F2937"/>
                <w:sz w:val="18"/>
              </w:rPr>
              <w:t>Input contract maintainability</w:t>
            </w:r>
          </w:p>
        </w:tc>
        <w:tc>
          <w:tcPr>
            <w:tcW w:type="dxa" w:w="2880"/>
            <w:tcMar>
              <w:top w:w="80" w:type="dxa"/>
              <w:start w:w="120" w:type="dxa"/>
              <w:bottom w:w="80" w:type="dxa"/>
              <w:end w:w="120" w:type="dxa"/>
            </w:tcMar>
          </w:tcPr>
          <w:p>
            <w:pPr>
              <w:spacing w:before="0" w:after="0" w:line="252" w:lineRule="auto"/>
              <w:jc w:val="left"/>
            </w:pPr>
            <w:r/>
            <w:r>
              <w:rPr>
                <w:rFonts w:ascii="Arial" w:hAnsi="Arial"/>
                <w:b w:val="0"/>
                <w:i w:val="0"/>
                <w:color w:val="1F2937"/>
                <w:sz w:val="18"/>
              </w:rPr>
              <w:t>CustomerType = Consumer is passed by the pipeline, but AccountCreation derives CustomerTypeValue from record type rather than consuming the CustomerType input.</w:t>
            </w:r>
          </w:p>
        </w:tc>
        <w:tc>
          <w:tcPr>
            <w:tcW w:type="dxa" w:w="2680"/>
            <w:tcMar>
              <w:top w:w="80" w:type="dxa"/>
              <w:start w:w="120" w:type="dxa"/>
              <w:bottom w:w="80" w:type="dxa"/>
              <w:end w:w="120" w:type="dxa"/>
            </w:tcMar>
          </w:tcPr>
          <w:p>
            <w:pPr>
              <w:spacing w:before="0" w:after="0" w:line="252" w:lineRule="auto"/>
              <w:jc w:val="left"/>
            </w:pPr>
            <w:r/>
            <w:r>
              <w:rPr>
                <w:rFonts w:ascii="Arial" w:hAnsi="Arial"/>
                <w:b w:val="0"/>
                <w:i w:val="0"/>
                <w:color w:val="1F2937"/>
                <w:sz w:val="18"/>
              </w:rPr>
              <w:t>Document the intentional record-type derivation or remove the unused input in a controlled follow-up; do not change Consumer behavior in this story.</w:t>
            </w:r>
          </w:p>
        </w:tc>
      </w:tr>
      <w:tr>
        <w:tc>
          <w:tcPr>
            <w:tcW w:type="dxa" w:w="650"/>
            <w:tcMar>
              <w:top w:w="80" w:type="dxa"/>
              <w:start w:w="120" w:type="dxa"/>
              <w:bottom w:w="80" w:type="dxa"/>
              <w:end w:w="120" w:type="dxa"/>
            </w:tcMar>
          </w:tcPr>
          <w:p>
            <w:pPr>
              <w:spacing w:before="0" w:after="0" w:line="252" w:lineRule="auto"/>
              <w:jc w:val="left"/>
            </w:pPr>
            <w:r/>
            <w:r>
              <w:rPr>
                <w:rFonts w:ascii="Arial" w:hAnsi="Arial"/>
                <w:b w:val="0"/>
                <w:i w:val="0"/>
                <w:color w:val="1F2937"/>
                <w:sz w:val="18"/>
              </w:rPr>
              <w:t>PR-06</w:t>
            </w:r>
          </w:p>
        </w:tc>
        <w:tc>
          <w:tcPr>
            <w:tcW w:type="dxa" w:w="1050"/>
            <w:tcMar>
              <w:top w:w="80" w:type="dxa"/>
              <w:start w:w="120" w:type="dxa"/>
              <w:bottom w:w="80" w:type="dxa"/>
              <w:end w:w="120" w:type="dxa"/>
            </w:tcMar>
          </w:tcPr>
          <w:p>
            <w:pPr>
              <w:spacing w:before="0" w:after="0" w:line="252" w:lineRule="auto"/>
              <w:jc w:val="left"/>
            </w:pPr>
            <w:r/>
            <w:r>
              <w:rPr>
                <w:rFonts w:ascii="Arial" w:hAnsi="Arial"/>
                <w:b w:val="0"/>
                <w:i w:val="0"/>
                <w:color w:val="1F2937"/>
                <w:sz w:val="18"/>
              </w:rPr>
              <w:t>P1</w:t>
            </w:r>
          </w:p>
        </w:tc>
        <w:tc>
          <w:tcPr>
            <w:tcW w:type="dxa" w:w="2100"/>
            <w:tcMar>
              <w:top w:w="80" w:type="dxa"/>
              <w:start w:w="120" w:type="dxa"/>
              <w:bottom w:w="80" w:type="dxa"/>
              <w:end w:w="120" w:type="dxa"/>
            </w:tcMar>
          </w:tcPr>
          <w:p>
            <w:pPr>
              <w:spacing w:before="0" w:after="0" w:line="252" w:lineRule="auto"/>
              <w:jc w:val="left"/>
            </w:pPr>
            <w:r/>
            <w:r>
              <w:rPr>
                <w:rFonts w:ascii="Arial" w:hAnsi="Arial"/>
                <w:b w:val="0"/>
                <w:i w:val="0"/>
                <w:color w:val="1F2937"/>
                <w:sz w:val="18"/>
              </w:rPr>
              <w:t>PR artifact</w:t>
            </w:r>
          </w:p>
        </w:tc>
        <w:tc>
          <w:tcPr>
            <w:tcW w:type="dxa" w:w="2880"/>
            <w:tcMar>
              <w:top w:w="80" w:type="dxa"/>
              <w:start w:w="120" w:type="dxa"/>
              <w:bottom w:w="80" w:type="dxa"/>
              <w:end w:w="120" w:type="dxa"/>
            </w:tcMar>
          </w:tcPr>
          <w:p>
            <w:pPr>
              <w:spacing w:before="0" w:after="0" w:line="252" w:lineRule="auto"/>
              <w:jc w:val="left"/>
            </w:pPr>
            <w:r/>
            <w:r>
              <w:rPr>
                <w:rFonts w:ascii="Arial" w:hAnsi="Arial"/>
                <w:b w:val="0"/>
                <w:i w:val="0"/>
                <w:color w:val="1F2937"/>
                <w:sz w:val="18"/>
              </w:rPr>
              <w:t>No repository PR URL, source branch, commit, or exported DataPack diff was available.</w:t>
            </w:r>
          </w:p>
        </w:tc>
        <w:tc>
          <w:tcPr>
            <w:tcW w:type="dxa" w:w="2680"/>
            <w:tcMar>
              <w:top w:w="80" w:type="dxa"/>
              <w:start w:w="120" w:type="dxa"/>
              <w:bottom w:w="80" w:type="dxa"/>
              <w:end w:w="120" w:type="dxa"/>
            </w:tcMar>
          </w:tcPr>
          <w:p>
            <w:pPr>
              <w:spacing w:before="0" w:after="0" w:line="252" w:lineRule="auto"/>
              <w:jc w:val="left"/>
            </w:pPr>
            <w:r/>
            <w:r>
              <w:rPr>
                <w:rFonts w:ascii="Arial" w:hAnsi="Arial"/>
                <w:b w:val="0"/>
                <w:i w:val="0"/>
                <w:color w:val="1F2937"/>
                <w:sz w:val="18"/>
              </w:rPr>
              <w:t>Attach the exact SQ_OrderPipeline/SQtoOrderPipeline and AccountCreation diff for formal approval.</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E"/>
          </w:tcPr>
          <w:p>
            <w:pPr>
              <w:spacing w:after="40"/>
            </w:pPr>
            <w:r>
              <w:rPr>
                <w:rFonts w:ascii="Arial" w:hAnsi="Arial"/>
                <w:b/>
                <w:i w:val="0"/>
                <w:color w:val="B7791F"/>
                <w:sz w:val="18"/>
              </w:rPr>
              <w:t>REVIEW CONCLUSION</w:t>
            </w:r>
          </w:p>
          <w:p>
            <w:pPr>
              <w:spacing w:after="0" w:line="259" w:lineRule="auto"/>
            </w:pPr>
            <w:r>
              <w:rPr>
                <w:rFonts w:ascii="Arial" w:hAnsi="Arial"/>
                <w:b/>
                <w:i w:val="0"/>
                <w:color w:val="0B2545"/>
                <w:sz w:val="22"/>
              </w:rPr>
              <w:t>The earlier Merge-based findings about missing Customer Type and missing MDU logic do not apply to DevA. PR-01 is the remaining configuration blocker; PR-06 prevents line-by-line PR approval.</w:t>
            </w:r>
          </w:p>
        </w:tc>
      </w:tr>
    </w:tbl>
    <w:p>
      <w:pPr>
        <w:spacing w:after="20"/>
      </w:pPr>
    </w:p>
    <w:p>
      <w:r>
        <w:br w:type="page"/>
      </w:r>
    </w:p>
    <w:p>
      <w:pPr>
        <w:pStyle w:val="Heading1"/>
        <w:keepNext/>
      </w:pPr>
      <w:r>
        <w:t>Acceptance and merge checklist</w:t>
      </w:r>
    </w:p>
    <w:tbl>
      <w:tblPr>
        <w:tblStyle w:val="TableGrid"/>
        <w:tblW w:type="dxa" w:w="9360"/>
        <w:jc w:val="left"/>
        <w:tblLayout w:type="fixed"/>
        <w:tblLook w:firstColumn="1" w:firstRow="1" w:lastColumn="0" w:lastRow="0" w:noHBand="0" w:noVBand="1" w:val="04A0"/>
        <w:tblInd w:w="120" w:type="dxa"/>
      </w:tblPr>
      <w:tblGrid>
        <w:gridCol w:w="1800"/>
        <w:gridCol w:w="1800"/>
        <w:gridCol w:w="1500"/>
        <w:gridCol w:w="4260"/>
      </w:tblGrid>
      <w:tr>
        <w:trPr>
          <w:tblHeader w:val="true"/>
        </w:trPr>
        <w:tc>
          <w:tcPr>
            <w:tcW w:type="dxa" w:w="18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Criterion</w:t>
            </w:r>
          </w:p>
        </w:tc>
        <w:tc>
          <w:tcPr>
            <w:tcW w:type="dxa" w:w="18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Expected</w:t>
            </w:r>
          </w:p>
        </w:tc>
        <w:tc>
          <w:tcPr>
            <w:tcW w:type="dxa" w:w="15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Result</w:t>
            </w:r>
          </w:p>
        </w:tc>
        <w:tc>
          <w:tcPr>
            <w:tcW w:type="dxa" w:w="426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Evidence</w:t>
            </w:r>
          </w:p>
        </w:tc>
      </w:tr>
      <w:tr>
        <w:tc>
          <w:tcPr>
            <w:tcW w:type="dxa" w:w="1800"/>
            <w:tcMar>
              <w:top w:w="80" w:type="dxa"/>
              <w:start w:w="120" w:type="dxa"/>
              <w:bottom w:w="80" w:type="dxa"/>
              <w:end w:w="120" w:type="dxa"/>
            </w:tcMar>
          </w:tcPr>
          <w:p>
            <w:pPr>
              <w:spacing w:before="0" w:after="0" w:line="252" w:lineRule="auto"/>
              <w:jc w:val="left"/>
            </w:pPr>
            <w:r/>
            <w:r>
              <w:rPr>
                <w:rFonts w:ascii="Arial" w:hAnsi="Arial"/>
                <w:b w:val="0"/>
                <w:i w:val="0"/>
                <w:color w:val="1F2937"/>
                <w:sz w:val="18"/>
              </w:rPr>
              <w:t>Line of Business</w:t>
            </w:r>
          </w:p>
        </w:tc>
        <w:tc>
          <w:tcPr>
            <w:tcW w:type="dxa" w:w="1800"/>
            <w:tcMar>
              <w:top w:w="80" w:type="dxa"/>
              <w:start w:w="120" w:type="dxa"/>
              <w:bottom w:w="80" w:type="dxa"/>
              <w:end w:w="120" w:type="dxa"/>
            </w:tcMar>
          </w:tcPr>
          <w:p>
            <w:pPr>
              <w:spacing w:before="0" w:after="0" w:line="252" w:lineRule="auto"/>
              <w:jc w:val="left"/>
            </w:pPr>
            <w:r/>
            <w:r>
              <w:rPr>
                <w:rFonts w:ascii="Arial" w:hAnsi="Arial"/>
                <w:b w:val="0"/>
                <w:i w:val="0"/>
                <w:color w:val="1F2937"/>
                <w:sz w:val="18"/>
              </w:rPr>
              <w:t>Residential</w:t>
            </w:r>
          </w:p>
        </w:tc>
        <w:tc>
          <w:tcPr>
            <w:tcW w:type="dxa" w:w="150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Verified</w:t>
            </w:r>
          </w:p>
        </w:tc>
        <w:tc>
          <w:tcPr>
            <w:tcW w:type="dxa" w:w="4260"/>
            <w:tcMar>
              <w:top w:w="80" w:type="dxa"/>
              <w:start w:w="120" w:type="dxa"/>
              <w:bottom w:w="80" w:type="dxa"/>
              <w:end w:w="120" w:type="dxa"/>
            </w:tcMar>
          </w:tcPr>
          <w:p>
            <w:pPr>
              <w:spacing w:before="0" w:after="0" w:line="252" w:lineRule="auto"/>
              <w:jc w:val="left"/>
            </w:pPr>
            <w:r/>
            <w:r>
              <w:rPr>
                <w:rFonts w:ascii="Arial" w:hAnsi="Arial"/>
                <w:b w:val="0"/>
                <w:i w:val="0"/>
                <w:color w:val="1F2937"/>
                <w:sz w:val="18"/>
              </w:rPr>
              <w:t>Pipeline input maps to Line_of_Business__c.</w:t>
            </w:r>
          </w:p>
        </w:tc>
      </w:tr>
      <w:tr>
        <w:tc>
          <w:tcPr>
            <w:tcW w:type="dxa" w:w="1800"/>
            <w:tcMar>
              <w:top w:w="80" w:type="dxa"/>
              <w:start w:w="120" w:type="dxa"/>
              <w:bottom w:w="80" w:type="dxa"/>
              <w:end w:w="120" w:type="dxa"/>
            </w:tcMar>
          </w:tcPr>
          <w:p>
            <w:pPr>
              <w:spacing w:before="0" w:after="0" w:line="252" w:lineRule="auto"/>
              <w:jc w:val="left"/>
            </w:pPr>
            <w:r/>
            <w:r>
              <w:rPr>
                <w:rFonts w:ascii="Arial" w:hAnsi="Arial"/>
                <w:b w:val="0"/>
                <w:i w:val="0"/>
                <w:color w:val="1F2937"/>
                <w:sz w:val="18"/>
              </w:rPr>
              <w:t>Customer Type</w:t>
            </w:r>
          </w:p>
        </w:tc>
        <w:tc>
          <w:tcPr>
            <w:tcW w:type="dxa" w:w="1800"/>
            <w:tcMar>
              <w:top w:w="80" w:type="dxa"/>
              <w:start w:w="120" w:type="dxa"/>
              <w:bottom w:w="80" w:type="dxa"/>
              <w:end w:w="120" w:type="dxa"/>
            </w:tcMar>
          </w:tcPr>
          <w:p>
            <w:pPr>
              <w:spacing w:before="0" w:after="0" w:line="252" w:lineRule="auto"/>
              <w:jc w:val="left"/>
            </w:pPr>
            <w:r/>
            <w:r>
              <w:rPr>
                <w:rFonts w:ascii="Arial" w:hAnsi="Arial"/>
                <w:b w:val="0"/>
                <w:i w:val="0"/>
                <w:color w:val="1F2937"/>
                <w:sz w:val="18"/>
              </w:rPr>
              <w:t>Consumer</w:t>
            </w:r>
          </w:p>
        </w:tc>
        <w:tc>
          <w:tcPr>
            <w:tcW w:type="dxa" w:w="150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Verified</w:t>
            </w:r>
          </w:p>
        </w:tc>
        <w:tc>
          <w:tcPr>
            <w:tcW w:type="dxa" w:w="4260"/>
            <w:tcMar>
              <w:top w:w="80" w:type="dxa"/>
              <w:start w:w="120" w:type="dxa"/>
              <w:bottom w:w="80" w:type="dxa"/>
              <w:end w:w="120" w:type="dxa"/>
            </w:tcMar>
          </w:tcPr>
          <w:p>
            <w:pPr>
              <w:spacing w:before="0" w:after="0" w:line="252" w:lineRule="auto"/>
              <w:jc w:val="left"/>
            </w:pPr>
            <w:r/>
            <w:r>
              <w:rPr>
                <w:rFonts w:ascii="Arial" w:hAnsi="Arial"/>
                <w:b w:val="0"/>
                <w:i w:val="0"/>
                <w:color w:val="1F2937"/>
                <w:sz w:val="18"/>
              </w:rPr>
              <w:t>Consumer formula maps CustomerTypeValue to Customer_Type__c.</w:t>
            </w:r>
          </w:p>
        </w:tc>
      </w:tr>
      <w:tr>
        <w:tc>
          <w:tcPr>
            <w:tcW w:type="dxa" w:w="1800"/>
            <w:tcMar>
              <w:top w:w="80" w:type="dxa"/>
              <w:start w:w="120" w:type="dxa"/>
              <w:bottom w:w="80" w:type="dxa"/>
              <w:end w:w="120" w:type="dxa"/>
            </w:tcMar>
          </w:tcPr>
          <w:p>
            <w:pPr>
              <w:spacing w:before="0" w:after="0" w:line="252" w:lineRule="auto"/>
              <w:jc w:val="left"/>
            </w:pPr>
            <w:r/>
            <w:r>
              <w:rPr>
                <w:rFonts w:ascii="Arial" w:hAnsi="Arial"/>
                <w:b w:val="0"/>
                <w:i w:val="0"/>
                <w:color w:val="1F2937"/>
                <w:sz w:val="18"/>
              </w:rPr>
              <w:t>MDU Segment</w:t>
            </w:r>
          </w:p>
        </w:tc>
        <w:tc>
          <w:tcPr>
            <w:tcW w:type="dxa" w:w="1800"/>
            <w:tcMar>
              <w:top w:w="80" w:type="dxa"/>
              <w:start w:w="120" w:type="dxa"/>
              <w:bottom w:w="80" w:type="dxa"/>
              <w:end w:w="120" w:type="dxa"/>
            </w:tcMar>
          </w:tcPr>
          <w:p>
            <w:pPr>
              <w:spacing w:before="0" w:after="0" w:line="252" w:lineRule="auto"/>
              <w:jc w:val="left"/>
            </w:pPr>
            <w:r/>
            <w:r>
              <w:rPr>
                <w:rFonts w:ascii="Arial" w:hAnsi="Arial"/>
                <w:b w:val="0"/>
                <w:i w:val="0"/>
                <w:color w:val="1F2937"/>
                <w:sz w:val="18"/>
              </w:rPr>
              <w:t>MDU Tenant</w:t>
            </w:r>
          </w:p>
        </w:tc>
        <w:tc>
          <w:tcPr>
            <w:tcW w:type="dxa" w:w="150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Verified</w:t>
            </w:r>
          </w:p>
        </w:tc>
        <w:tc>
          <w:tcPr>
            <w:tcW w:type="dxa" w:w="4260"/>
            <w:tcMar>
              <w:top w:w="80" w:type="dxa"/>
              <w:start w:w="120" w:type="dxa"/>
              <w:bottom w:w="80" w:type="dxa"/>
              <w:end w:w="120" w:type="dxa"/>
            </w:tcMar>
          </w:tcPr>
          <w:p>
            <w:pPr>
              <w:spacing w:before="0" w:after="0" w:line="252" w:lineRule="auto"/>
              <w:jc w:val="left"/>
            </w:pPr>
            <w:r/>
            <w:r>
              <w:rPr>
                <w:rFonts w:ascii="Arial" w:hAnsi="Arial"/>
                <w:b w:val="0"/>
                <w:i w:val="0"/>
                <w:color w:val="1F2937"/>
                <w:sz w:val="18"/>
              </w:rPr>
              <w:t>Documented building types and Type = Unit are covered.</w:t>
            </w:r>
          </w:p>
        </w:tc>
      </w:tr>
      <w:tr>
        <w:tc>
          <w:tcPr>
            <w:tcW w:type="dxa" w:w="1800"/>
            <w:tcMar>
              <w:top w:w="80" w:type="dxa"/>
              <w:start w:w="120" w:type="dxa"/>
              <w:bottom w:w="80" w:type="dxa"/>
              <w:end w:w="120" w:type="dxa"/>
            </w:tcMar>
          </w:tcPr>
          <w:p>
            <w:pPr>
              <w:spacing w:before="0" w:after="0" w:line="252" w:lineRule="auto"/>
              <w:jc w:val="left"/>
            </w:pPr>
            <w:r/>
            <w:r>
              <w:rPr>
                <w:rFonts w:ascii="Arial" w:hAnsi="Arial"/>
                <w:b w:val="0"/>
                <w:i w:val="0"/>
                <w:color w:val="1F2937"/>
                <w:sz w:val="18"/>
              </w:rPr>
              <w:t>Standard Segment</w:t>
            </w:r>
          </w:p>
        </w:tc>
        <w:tc>
          <w:tcPr>
            <w:tcW w:type="dxa" w:w="1800"/>
            <w:tcMar>
              <w:top w:w="80" w:type="dxa"/>
              <w:start w:w="120" w:type="dxa"/>
              <w:bottom w:w="80" w:type="dxa"/>
              <w:end w:w="120" w:type="dxa"/>
            </w:tcMar>
          </w:tcPr>
          <w:p>
            <w:pPr>
              <w:spacing w:before="0" w:after="0" w:line="252" w:lineRule="auto"/>
              <w:jc w:val="left"/>
            </w:pPr>
            <w:r/>
            <w:r>
              <w:rPr>
                <w:rFonts w:ascii="Arial" w:hAnsi="Arial"/>
                <w:b w:val="0"/>
                <w:i w:val="0"/>
                <w:color w:val="1F2937"/>
                <w:sz w:val="18"/>
              </w:rPr>
              <w:t>Residential</w:t>
            </w:r>
          </w:p>
        </w:tc>
        <w:tc>
          <w:tcPr>
            <w:tcW w:type="dxa" w:w="150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Verified</w:t>
            </w:r>
          </w:p>
        </w:tc>
        <w:tc>
          <w:tcPr>
            <w:tcW w:type="dxa" w:w="4260"/>
            <w:tcMar>
              <w:top w:w="80" w:type="dxa"/>
              <w:start w:w="120" w:type="dxa"/>
              <w:bottom w:w="80" w:type="dxa"/>
              <w:end w:w="120" w:type="dxa"/>
            </w:tcMar>
          </w:tcPr>
          <w:p>
            <w:pPr>
              <w:spacing w:before="0" w:after="0" w:line="252" w:lineRule="auto"/>
              <w:jc w:val="left"/>
            </w:pPr>
            <w:r/>
            <w:r>
              <w:rPr>
                <w:rFonts w:ascii="Arial" w:hAnsi="Arial"/>
                <w:b w:val="0"/>
                <w:i w:val="0"/>
                <w:color w:val="1F2937"/>
                <w:sz w:val="18"/>
              </w:rPr>
              <w:t>Non-MDU path falls back to input Segment or Residential.</w:t>
            </w:r>
          </w:p>
        </w:tc>
      </w:tr>
      <w:tr>
        <w:tc>
          <w:tcPr>
            <w:tcW w:type="dxa" w:w="1800"/>
            <w:tcMar>
              <w:top w:w="80" w:type="dxa"/>
              <w:start w:w="120" w:type="dxa"/>
              <w:bottom w:w="80" w:type="dxa"/>
              <w:end w:w="120" w:type="dxa"/>
            </w:tcMar>
          </w:tcPr>
          <w:p>
            <w:pPr>
              <w:spacing w:before="0" w:after="0" w:line="252" w:lineRule="auto"/>
              <w:jc w:val="left"/>
            </w:pPr>
            <w:r/>
            <w:r>
              <w:rPr>
                <w:rFonts w:ascii="Arial" w:hAnsi="Arial"/>
                <w:b w:val="0"/>
                <w:i w:val="0"/>
                <w:color w:val="1F2937"/>
                <w:sz w:val="18"/>
              </w:rPr>
              <w:t>Existing Accounts</w:t>
            </w:r>
          </w:p>
        </w:tc>
        <w:tc>
          <w:tcPr>
            <w:tcW w:type="dxa" w:w="1800"/>
            <w:tcMar>
              <w:top w:w="80" w:type="dxa"/>
              <w:start w:w="120" w:type="dxa"/>
              <w:bottom w:w="80" w:type="dxa"/>
              <w:end w:w="120" w:type="dxa"/>
            </w:tcMar>
          </w:tcPr>
          <w:p>
            <w:pPr>
              <w:spacing w:before="0" w:after="0" w:line="252" w:lineRule="auto"/>
              <w:jc w:val="left"/>
            </w:pPr>
            <w:r/>
            <w:r>
              <w:rPr>
                <w:rFonts w:ascii="Arial" w:hAnsi="Arial"/>
                <w:b w:val="0"/>
                <w:i w:val="0"/>
                <w:color w:val="1F2937"/>
                <w:sz w:val="18"/>
              </w:rPr>
              <w:t>Unchanged</w:t>
            </w:r>
          </w:p>
        </w:tc>
        <w:tc>
          <w:tcPr>
            <w:tcW w:type="dxa" w:w="150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Verified</w:t>
            </w:r>
          </w:p>
        </w:tc>
        <w:tc>
          <w:tcPr>
            <w:tcW w:type="dxa" w:w="4260"/>
            <w:tcMar>
              <w:top w:w="80" w:type="dxa"/>
              <w:start w:w="120" w:type="dxa"/>
              <w:bottom w:w="80" w:type="dxa"/>
              <w:end w:w="120" w:type="dxa"/>
            </w:tcMar>
          </w:tcPr>
          <w:p>
            <w:pPr>
              <w:spacing w:before="0" w:after="0" w:line="252" w:lineRule="auto"/>
              <w:jc w:val="left"/>
            </w:pPr>
            <w:r/>
            <w:r>
              <w:rPr>
                <w:rFonts w:ascii="Arial" w:hAnsi="Arial"/>
                <w:b w:val="0"/>
                <w:i w:val="0"/>
                <w:color w:val="1F2937"/>
                <w:sz w:val="18"/>
              </w:rPr>
              <w:t>Account Id mapping is disabled; the Data Mapper remains create-only.</w:t>
            </w:r>
          </w:p>
        </w:tc>
      </w:tr>
      <w:tr>
        <w:tc>
          <w:tcPr>
            <w:tcW w:type="dxa" w:w="1800"/>
            <w:tcMar>
              <w:top w:w="80" w:type="dxa"/>
              <w:start w:w="120" w:type="dxa"/>
              <w:bottom w:w="80" w:type="dxa"/>
              <w:end w:w="120" w:type="dxa"/>
            </w:tcMar>
          </w:tcPr>
          <w:p>
            <w:pPr>
              <w:spacing w:before="0" w:after="0" w:line="252" w:lineRule="auto"/>
              <w:jc w:val="left"/>
            </w:pPr>
            <w:r/>
            <w:r>
              <w:rPr>
                <w:rFonts w:ascii="Arial" w:hAnsi="Arial"/>
                <w:b w:val="0"/>
                <w:i w:val="0"/>
                <w:color w:val="1F2937"/>
                <w:sz w:val="18"/>
              </w:rPr>
              <w:t>Service Account</w:t>
            </w:r>
          </w:p>
        </w:tc>
        <w:tc>
          <w:tcPr>
            <w:tcW w:type="dxa" w:w="1800"/>
            <w:tcMar>
              <w:top w:w="80" w:type="dxa"/>
              <w:start w:w="120" w:type="dxa"/>
              <w:bottom w:w="80" w:type="dxa"/>
              <w:end w:w="120" w:type="dxa"/>
            </w:tcMar>
          </w:tcPr>
          <w:p>
            <w:pPr>
              <w:spacing w:before="0" w:after="0" w:line="252" w:lineRule="auto"/>
              <w:jc w:val="left"/>
            </w:pPr>
            <w:r/>
            <w:r>
              <w:rPr>
                <w:rFonts w:ascii="Arial" w:hAnsi="Arial"/>
                <w:b w:val="0"/>
                <w:i w:val="0"/>
                <w:color w:val="1F2937"/>
                <w:sz w:val="18"/>
              </w:rPr>
              <w:t>Unchanged</w:t>
            </w:r>
          </w:p>
        </w:tc>
        <w:tc>
          <w:tcPr>
            <w:tcW w:type="dxa" w:w="150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Verified</w:t>
            </w:r>
          </w:p>
        </w:tc>
        <w:tc>
          <w:tcPr>
            <w:tcW w:type="dxa" w:w="4260"/>
            <w:tcMar>
              <w:top w:w="80" w:type="dxa"/>
              <w:start w:w="120" w:type="dxa"/>
              <w:bottom w:w="80" w:type="dxa"/>
              <w:end w:w="120" w:type="dxa"/>
            </w:tcMar>
          </w:tcPr>
          <w:p>
            <w:pPr>
              <w:spacing w:before="0" w:after="0" w:line="252" w:lineRule="auto"/>
              <w:jc w:val="left"/>
            </w:pPr>
            <w:r/>
            <w:r>
              <w:rPr>
                <w:rFonts w:ascii="Arial" w:hAnsi="Arial"/>
                <w:b w:val="0"/>
                <w:i w:val="0"/>
                <w:color w:val="1F2937"/>
                <w:sz w:val="18"/>
              </w:rPr>
              <w:t>Service action does not pass the three Consumer classification inputs.</w:t>
            </w:r>
          </w:p>
        </w:tc>
      </w:tr>
    </w:tbl>
    <w:p>
      <w:pPr>
        <w:spacing w:after="20"/>
      </w:pPr>
    </w:p>
    <w:p>
      <w:pPr>
        <w:pStyle w:val="Heading2"/>
        <w:keepNext/>
      </w:pPr>
      <w:r>
        <w:t>Required before merge</w:t>
      </w:r>
    </w:p>
    <w:tbl>
      <w:tblPr>
        <w:tblStyle w:val="TableGrid"/>
        <w:tblW w:type="dxa" w:w="9360"/>
        <w:jc w:val="left"/>
        <w:tblLayout w:type="fixed"/>
        <w:tblLook w:firstColumn="1" w:firstRow="1" w:lastColumn="0" w:lastRow="0" w:noHBand="0" w:noVBand="1" w:val="04A0"/>
        <w:tblInd w:w="120" w:type="dxa"/>
      </w:tblPr>
      <w:tblGrid>
        <w:gridCol w:w="600"/>
        <w:gridCol w:w="6900"/>
        <w:gridCol w:w="1860"/>
      </w:tblGrid>
      <w:tr>
        <w:trPr>
          <w:tblHeader w:val="true"/>
        </w:trPr>
        <w:tc>
          <w:tcPr>
            <w:tcW w:type="dxa" w:w="6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w:t>
            </w:r>
          </w:p>
        </w:tc>
        <w:tc>
          <w:tcPr>
            <w:tcW w:type="dxa" w:w="69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Merge check</w:t>
            </w:r>
          </w:p>
        </w:tc>
        <w:tc>
          <w:tcPr>
            <w:tcW w:type="dxa" w:w="186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Status</w:t>
            </w:r>
          </w:p>
        </w:tc>
      </w:tr>
      <w:tr>
        <w:tc>
          <w:tcPr>
            <w:tcW w:type="dxa" w:w="600"/>
            <w:tcMar>
              <w:top w:w="80" w:type="dxa"/>
              <w:start w:w="120" w:type="dxa"/>
              <w:bottom w:w="80" w:type="dxa"/>
              <w:end w:w="120" w:type="dxa"/>
            </w:tcMar>
          </w:tcPr>
          <w:p>
            <w:pPr>
              <w:spacing w:before="0" w:after="0" w:line="252" w:lineRule="auto"/>
              <w:jc w:val="left"/>
            </w:pPr>
            <w:r/>
            <w:r>
              <w:rPr>
                <w:rFonts w:ascii="Arial" w:hAnsi="Arial"/>
                <w:b w:val="0"/>
                <w:i w:val="0"/>
                <w:color w:val="1F2937"/>
                <w:sz w:val="18"/>
              </w:rPr>
              <w:t>1</w:t>
            </w:r>
          </w:p>
        </w:tc>
        <w:tc>
          <w:tcPr>
            <w:tcW w:type="dxa" w:w="6900"/>
            <w:tcMar>
              <w:top w:w="80" w:type="dxa"/>
              <w:start w:w="120" w:type="dxa"/>
              <w:bottom w:w="80" w:type="dxa"/>
              <w:end w:w="120" w:type="dxa"/>
            </w:tcMar>
          </w:tcPr>
          <w:p>
            <w:pPr>
              <w:spacing w:before="0" w:after="0" w:line="252" w:lineRule="auto"/>
              <w:jc w:val="left"/>
            </w:pPr>
            <w:r/>
            <w:r>
              <w:rPr>
                <w:rFonts w:ascii="Arial" w:hAnsi="Arial"/>
                <w:b w:val="0"/>
                <w:i w:val="0"/>
                <w:color w:val="1F2937"/>
                <w:sz w:val="18"/>
              </w:rPr>
              <w:t>Resolve AccountCreation inactive status or prove runtime/version resolution</w:t>
            </w:r>
          </w:p>
        </w:tc>
        <w:tc>
          <w:tcPr>
            <w:tcW w:type="dxa" w:w="1860"/>
            <w:shd w:fill="FDECEC"/>
            <w:tcMar>
              <w:top w:w="80" w:type="dxa"/>
              <w:start w:w="120" w:type="dxa"/>
              <w:bottom w:w="80" w:type="dxa"/>
              <w:end w:w="120" w:type="dxa"/>
            </w:tcMar>
          </w:tcPr>
          <w:p>
            <w:pPr>
              <w:spacing w:before="0" w:after="0" w:line="252" w:lineRule="auto"/>
              <w:jc w:val="center"/>
            </w:pPr>
            <w:r/>
            <w:r>
              <w:rPr>
                <w:rFonts w:ascii="Arial" w:hAnsi="Arial"/>
                <w:b/>
                <w:i w:val="0"/>
                <w:color w:val="C53030"/>
                <w:sz w:val="19"/>
              </w:rPr>
              <w:t>Blocked</w:t>
            </w:r>
          </w:p>
        </w:tc>
      </w:tr>
      <w:tr>
        <w:tc>
          <w:tcPr>
            <w:tcW w:type="dxa" w:w="600"/>
            <w:tcMar>
              <w:top w:w="80" w:type="dxa"/>
              <w:start w:w="120" w:type="dxa"/>
              <w:bottom w:w="80" w:type="dxa"/>
              <w:end w:w="120" w:type="dxa"/>
            </w:tcMar>
          </w:tcPr>
          <w:p>
            <w:pPr>
              <w:spacing w:before="0" w:after="0" w:line="252" w:lineRule="auto"/>
              <w:jc w:val="left"/>
            </w:pPr>
            <w:r/>
            <w:r>
              <w:rPr>
                <w:rFonts w:ascii="Arial" w:hAnsi="Arial"/>
                <w:b w:val="0"/>
                <w:i w:val="0"/>
                <w:color w:val="1F2937"/>
                <w:sz w:val="18"/>
              </w:rPr>
              <w:t>2</w:t>
            </w:r>
          </w:p>
        </w:tc>
        <w:tc>
          <w:tcPr>
            <w:tcW w:type="dxa" w:w="6900"/>
            <w:tcMar>
              <w:top w:w="80" w:type="dxa"/>
              <w:start w:w="120" w:type="dxa"/>
              <w:bottom w:w="80" w:type="dxa"/>
              <w:end w:w="120" w:type="dxa"/>
            </w:tcMar>
          </w:tcPr>
          <w:p>
            <w:pPr>
              <w:spacing w:before="0" w:after="0" w:line="252" w:lineRule="auto"/>
              <w:jc w:val="left"/>
            </w:pPr>
            <w:r/>
            <w:r>
              <w:rPr>
                <w:rFonts w:ascii="Arial" w:hAnsi="Arial"/>
                <w:b w:val="0"/>
                <w:i w:val="0"/>
                <w:color w:val="1F2937"/>
                <w:sz w:val="18"/>
              </w:rPr>
              <w:t>Attach exact PR or exported DataPack diff</w:t>
            </w:r>
          </w:p>
        </w:tc>
        <w:tc>
          <w:tcPr>
            <w:tcW w:type="dxa" w:w="1860"/>
            <w:shd w:fill="FDECEC"/>
            <w:tcMar>
              <w:top w:w="80" w:type="dxa"/>
              <w:start w:w="120" w:type="dxa"/>
              <w:bottom w:w="80" w:type="dxa"/>
              <w:end w:w="120" w:type="dxa"/>
            </w:tcMar>
          </w:tcPr>
          <w:p>
            <w:pPr>
              <w:spacing w:before="0" w:after="0" w:line="252" w:lineRule="auto"/>
              <w:jc w:val="center"/>
            </w:pPr>
            <w:r/>
            <w:r>
              <w:rPr>
                <w:rFonts w:ascii="Arial" w:hAnsi="Arial"/>
                <w:b/>
                <w:i w:val="0"/>
                <w:color w:val="C53030"/>
                <w:sz w:val="19"/>
              </w:rPr>
              <w:t>Blocked</w:t>
            </w:r>
          </w:p>
        </w:tc>
      </w:tr>
      <w:tr>
        <w:tc>
          <w:tcPr>
            <w:tcW w:type="dxa" w:w="600"/>
            <w:tcMar>
              <w:top w:w="80" w:type="dxa"/>
              <w:start w:w="120" w:type="dxa"/>
              <w:bottom w:w="80" w:type="dxa"/>
              <w:end w:w="120" w:type="dxa"/>
            </w:tcMar>
          </w:tcPr>
          <w:p>
            <w:pPr>
              <w:spacing w:before="0" w:after="0" w:line="252" w:lineRule="auto"/>
              <w:jc w:val="left"/>
            </w:pPr>
            <w:r/>
            <w:r>
              <w:rPr>
                <w:rFonts w:ascii="Arial" w:hAnsi="Arial"/>
                <w:b w:val="0"/>
                <w:i w:val="0"/>
                <w:color w:val="1F2937"/>
                <w:sz w:val="18"/>
              </w:rPr>
              <w:t>3</w:t>
            </w:r>
          </w:p>
        </w:tc>
        <w:tc>
          <w:tcPr>
            <w:tcW w:type="dxa" w:w="6900"/>
            <w:tcMar>
              <w:top w:w="80" w:type="dxa"/>
              <w:start w:w="120" w:type="dxa"/>
              <w:bottom w:w="80" w:type="dxa"/>
              <w:end w:w="120" w:type="dxa"/>
            </w:tcMar>
          </w:tcPr>
          <w:p>
            <w:pPr>
              <w:spacing w:before="0" w:after="0" w:line="252" w:lineRule="auto"/>
              <w:jc w:val="left"/>
            </w:pPr>
            <w:r/>
            <w:r>
              <w:rPr>
                <w:rFonts w:ascii="Arial" w:hAnsi="Arial"/>
                <w:b w:val="0"/>
                <w:i w:val="0"/>
                <w:color w:val="1F2937"/>
                <w:sz w:val="18"/>
              </w:rPr>
              <w:t>Show one post-change MDU buy-flow execution result</w:t>
            </w:r>
          </w:p>
        </w:tc>
        <w:tc>
          <w:tcPr>
            <w:tcW w:type="dxa" w:w="186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Pending</w:t>
            </w:r>
          </w:p>
        </w:tc>
      </w:tr>
      <w:tr>
        <w:tc>
          <w:tcPr>
            <w:tcW w:type="dxa" w:w="600"/>
            <w:tcMar>
              <w:top w:w="80" w:type="dxa"/>
              <w:start w:w="120" w:type="dxa"/>
              <w:bottom w:w="80" w:type="dxa"/>
              <w:end w:w="120" w:type="dxa"/>
            </w:tcMar>
          </w:tcPr>
          <w:p>
            <w:pPr>
              <w:spacing w:before="0" w:after="0" w:line="252" w:lineRule="auto"/>
              <w:jc w:val="left"/>
            </w:pPr>
            <w:r/>
            <w:r>
              <w:rPr>
                <w:rFonts w:ascii="Arial" w:hAnsi="Arial"/>
                <w:b w:val="0"/>
                <w:i w:val="0"/>
                <w:color w:val="1F2937"/>
                <w:sz w:val="18"/>
              </w:rPr>
              <w:t>4</w:t>
            </w:r>
          </w:p>
        </w:tc>
        <w:tc>
          <w:tcPr>
            <w:tcW w:type="dxa" w:w="6900"/>
            <w:tcMar>
              <w:top w:w="80" w:type="dxa"/>
              <w:start w:w="120" w:type="dxa"/>
              <w:bottom w:w="80" w:type="dxa"/>
              <w:end w:w="120" w:type="dxa"/>
            </w:tcMar>
          </w:tcPr>
          <w:p>
            <w:pPr>
              <w:spacing w:before="0" w:after="0" w:line="252" w:lineRule="auto"/>
              <w:jc w:val="left"/>
            </w:pPr>
            <w:r/>
            <w:r>
              <w:rPr>
                <w:rFonts w:ascii="Arial" w:hAnsi="Arial"/>
                <w:b w:val="0"/>
                <w:i w:val="0"/>
                <w:color w:val="1F2937"/>
                <w:sz w:val="18"/>
              </w:rPr>
              <w:t>Show one post-change standard Residential execution result</w:t>
            </w:r>
          </w:p>
        </w:tc>
        <w:tc>
          <w:tcPr>
            <w:tcW w:type="dxa" w:w="186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Pending</w:t>
            </w:r>
          </w:p>
        </w:tc>
      </w:tr>
      <w:tr>
        <w:tc>
          <w:tcPr>
            <w:tcW w:type="dxa" w:w="600"/>
            <w:tcMar>
              <w:top w:w="80" w:type="dxa"/>
              <w:start w:w="120" w:type="dxa"/>
              <w:bottom w:w="80" w:type="dxa"/>
              <w:end w:w="120" w:type="dxa"/>
            </w:tcMar>
          </w:tcPr>
          <w:p>
            <w:pPr>
              <w:spacing w:before="0" w:after="0" w:line="252" w:lineRule="auto"/>
              <w:jc w:val="left"/>
            </w:pPr>
            <w:r/>
            <w:r>
              <w:rPr>
                <w:rFonts w:ascii="Arial" w:hAnsi="Arial"/>
                <w:b w:val="0"/>
                <w:i w:val="0"/>
                <w:color w:val="1F2937"/>
                <w:sz w:val="18"/>
              </w:rPr>
              <w:t>5</w:t>
            </w:r>
          </w:p>
        </w:tc>
        <w:tc>
          <w:tcPr>
            <w:tcW w:type="dxa" w:w="6900"/>
            <w:tcMar>
              <w:top w:w="80" w:type="dxa"/>
              <w:start w:w="120" w:type="dxa"/>
              <w:bottom w:w="80" w:type="dxa"/>
              <w:end w:w="120" w:type="dxa"/>
            </w:tcMar>
          </w:tcPr>
          <w:p>
            <w:pPr>
              <w:spacing w:before="0" w:after="0" w:line="252" w:lineRule="auto"/>
              <w:jc w:val="left"/>
            </w:pPr>
            <w:r/>
            <w:r>
              <w:rPr>
                <w:rFonts w:ascii="Arial" w:hAnsi="Arial"/>
                <w:b w:val="0"/>
                <w:i w:val="0"/>
                <w:color w:val="1F2937"/>
                <w:sz w:val="18"/>
              </w:rPr>
              <w:t>Confirm downstream package activates SQ/OrderPipeline v5 and intended Data Mapper</w:t>
            </w:r>
          </w:p>
        </w:tc>
        <w:tc>
          <w:tcPr>
            <w:tcW w:type="dxa" w:w="186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Pending</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A"/>
          </w:tcPr>
          <w:p>
            <w:pPr>
              <w:spacing w:after="40"/>
            </w:pPr>
            <w:r>
              <w:rPr>
                <w:rFonts w:ascii="Arial" w:hAnsi="Arial"/>
                <w:b/>
                <w:i w:val="0"/>
                <w:color w:val="2E74B5"/>
                <w:sz w:val="18"/>
              </w:rPr>
              <w:t>SCOPE NOTE</w:t>
            </w:r>
          </w:p>
          <w:p>
            <w:pPr>
              <w:spacing w:after="0" w:line="259" w:lineRule="auto"/>
            </w:pPr>
            <w:r>
              <w:rPr>
                <w:rFonts w:ascii="Arial" w:hAnsi="Arial"/>
                <w:b/>
                <w:i w:val="0"/>
                <w:color w:val="0B2545"/>
                <w:sz w:val="22"/>
              </w:rPr>
              <w:t>These are PR evidence and configuration gates. No deployment steps or execution instructions are included in this review.</w:t>
            </w:r>
          </w:p>
        </w:tc>
      </w:tr>
    </w:tbl>
    <w:p>
      <w:pPr>
        <w:spacing w:after="20"/>
      </w:pPr>
    </w:p>
    <w:p>
      <w:r>
        <w:br w:type="page"/>
      </w:r>
    </w:p>
    <w:p>
      <w:pPr>
        <w:pStyle w:val="Heading1"/>
        <w:keepNext/>
      </w:pPr>
      <w:r>
        <w:t>Review evidence and limitations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Evidence source</w:t>
            </w:r>
          </w:p>
        </w:tc>
        <w:tc>
          <w:tcPr>
            <w:tcW w:type="dxa" w:w="716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Confirmed result</w:t>
            </w:r>
          </w:p>
        </w:tc>
      </w:tr>
      <w:tr>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Target org</w:t>
            </w:r>
          </w:p>
        </w:tc>
        <w:tc>
          <w:tcPr>
            <w:tcW w:type="dxa" w:w="7160"/>
            <w:tcMar>
              <w:top w:w="80" w:type="dxa"/>
              <w:start w:w="120" w:type="dxa"/>
              <w:bottom w:w="80" w:type="dxa"/>
              <w:end w:w="120" w:type="dxa"/>
            </w:tcMar>
          </w:tcPr>
          <w:p>
            <w:pPr>
              <w:spacing w:before="0" w:after="0" w:line="252" w:lineRule="auto"/>
              <w:jc w:val="left"/>
            </w:pPr>
            <w:r/>
            <w:r>
              <w:rPr>
                <w:rFonts w:ascii="Arial" w:hAnsi="Arial"/>
                <w:b w:val="0"/>
                <w:i w:val="0"/>
                <w:color w:val="1F2937"/>
                <w:sz w:val="18"/>
              </w:rPr>
              <w:t>GreatPlainsDevA | Great Plains Communications | 00DEa00000Fc086MAB | Sandbox</w:t>
            </w:r>
          </w:p>
        </w:tc>
      </w:tr>
      <w:tr>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Active pipeline</w:t>
            </w:r>
          </w:p>
        </w:tc>
        <w:tc>
          <w:tcPr>
            <w:tcW w:type="dxa" w:w="7160"/>
            <w:tcMar>
              <w:top w:w="80" w:type="dxa"/>
              <w:start w:w="120" w:type="dxa"/>
              <w:bottom w:w="80" w:type="dxa"/>
              <w:end w:w="120" w:type="dxa"/>
            </w:tcMar>
          </w:tcPr>
          <w:p>
            <w:pPr>
              <w:spacing w:before="0" w:after="0" w:line="252" w:lineRule="auto"/>
              <w:jc w:val="left"/>
            </w:pPr>
            <w:r/>
            <w:r>
              <w:rPr>
                <w:rFonts w:ascii="Arial" w:hAnsi="Arial"/>
                <w:b w:val="0"/>
                <w:i w:val="0"/>
                <w:color w:val="1F2937"/>
                <w:sz w:val="18"/>
              </w:rPr>
              <w:t>SQ / OrderPipeline | SQtoOrderPipeline v5 | active | 7 active elements</w:t>
            </w:r>
          </w:p>
        </w:tc>
      </w:tr>
      <w:tr>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Data Mapper</w:t>
            </w:r>
          </w:p>
        </w:tc>
        <w:tc>
          <w:tcPr>
            <w:tcW w:type="dxa" w:w="7160"/>
            <w:tcMar>
              <w:top w:w="80" w:type="dxa"/>
              <w:start w:w="120" w:type="dxa"/>
              <w:bottom w:w="80" w:type="dxa"/>
              <w:end w:w="120" w:type="dxa"/>
            </w:tcMar>
          </w:tcPr>
          <w:p>
            <w:pPr>
              <w:spacing w:before="0" w:after="0" w:line="252" w:lineRule="auto"/>
              <w:jc w:val="left"/>
            </w:pPr>
            <w:r/>
            <w:r>
              <w:rPr>
                <w:rFonts w:ascii="Arial" w:hAnsi="Arial"/>
                <w:b w:val="0"/>
                <w:i w:val="0"/>
                <w:color w:val="1F2937"/>
                <w:sz w:val="18"/>
              </w:rPr>
              <w:t>AccountCreation | Load v1 | inactive | 49 items | modified 28 August 2026</w:t>
            </w:r>
          </w:p>
        </w:tc>
      </w:tr>
      <w:tr>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Account fields</w:t>
            </w:r>
          </w:p>
        </w:tc>
        <w:tc>
          <w:tcPr>
            <w:tcW w:type="dxa" w:w="7160"/>
            <w:tcMar>
              <w:top w:w="80" w:type="dxa"/>
              <w:start w:w="120" w:type="dxa"/>
              <w:bottom w:w="80" w:type="dxa"/>
              <w:end w:w="120" w:type="dxa"/>
            </w:tcMar>
          </w:tcPr>
          <w:p>
            <w:pPr>
              <w:spacing w:before="0" w:after="0" w:line="252" w:lineRule="auto"/>
              <w:jc w:val="left"/>
            </w:pPr>
            <w:r/>
            <w:r>
              <w:rPr>
                <w:rFonts w:ascii="Arial" w:hAnsi="Arial"/>
                <w:b w:val="0"/>
                <w:i w:val="0"/>
                <w:color w:val="1F2937"/>
                <w:sz w:val="18"/>
              </w:rPr>
              <w:t>Line_of_Business__c, Customer_Type__c, Segment__c; required picklist values exist</w:t>
            </w:r>
          </w:p>
        </w:tc>
      </w:tr>
      <w:tr>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30-day outcomes</w:t>
            </w:r>
          </w:p>
        </w:tc>
        <w:tc>
          <w:tcPr>
            <w:tcW w:type="dxa" w:w="7160"/>
            <w:tcMar>
              <w:top w:w="80" w:type="dxa"/>
              <w:start w:w="120" w:type="dxa"/>
              <w:bottom w:w="80" w:type="dxa"/>
              <w:end w:w="120" w:type="dxa"/>
            </w:tcMar>
          </w:tcPr>
          <w:p>
            <w:pPr>
              <w:spacing w:before="0" w:after="0" w:line="252" w:lineRule="auto"/>
              <w:jc w:val="left"/>
            </w:pPr>
            <w:r/>
            <w:r>
              <w:rPr>
                <w:rFonts w:ascii="Arial" w:hAnsi="Arial"/>
                <w:b w:val="0"/>
                <w:i w:val="0"/>
                <w:color w:val="1F2937"/>
                <w:sz w:val="18"/>
              </w:rPr>
              <w:t>17 Consumer Accounts: 2 expected MDU, 4 expected Residential, 11 legacy blank Customer Type</w:t>
            </w:r>
          </w:p>
        </w:tc>
      </w:tr>
      <w:tr>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Today</w:t>
            </w:r>
          </w:p>
        </w:tc>
        <w:tc>
          <w:tcPr>
            <w:tcW w:type="dxa" w:w="7160"/>
            <w:tcMar>
              <w:top w:w="80" w:type="dxa"/>
              <w:start w:w="120" w:type="dxa"/>
              <w:bottom w:w="80" w:type="dxa"/>
              <w:end w:w="120" w:type="dxa"/>
            </w:tcMar>
          </w:tcPr>
          <w:p>
            <w:pPr>
              <w:spacing w:before="0" w:after="0" w:line="252" w:lineRule="auto"/>
              <w:jc w:val="left"/>
            </w:pPr>
            <w:r/>
            <w:r>
              <w:rPr>
                <w:rFonts w:ascii="Arial" w:hAnsi="Arial"/>
                <w:b w:val="0"/>
                <w:i w:val="0"/>
                <w:color w:val="1F2937"/>
                <w:sz w:val="18"/>
              </w:rPr>
              <w:t>No Consumer Account was created today; no post-change runtime result exists in the reviewed data</w:t>
            </w:r>
          </w:p>
        </w:tc>
      </w:tr>
      <w:tr>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Version scan</w:t>
            </w:r>
          </w:p>
        </w:tc>
        <w:tc>
          <w:tcPr>
            <w:tcW w:type="dxa" w:w="7160"/>
            <w:tcMar>
              <w:top w:w="80" w:type="dxa"/>
              <w:start w:w="120" w:type="dxa"/>
              <w:bottom w:w="80" w:type="dxa"/>
              <w:end w:w="120" w:type="dxa"/>
            </w:tcMar>
          </w:tcPr>
          <w:p>
            <w:pPr>
              <w:spacing w:before="0" w:after="0" w:line="252" w:lineRule="auto"/>
              <w:jc w:val="left"/>
            </w:pPr>
            <w:r/>
            <w:r>
              <w:rPr>
                <w:rFonts w:ascii="Arial" w:hAnsi="Arial"/>
                <w:b w:val="0"/>
                <w:i w:val="0"/>
                <w:color w:val="1F2937"/>
                <w:sz w:val="18"/>
              </w:rPr>
              <w:t>SQtoOrderPipeline v1-v5 reviewed; only v5 is active; v4-v5 carry SCC-4485 inputs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E"/>
          </w:tcPr>
          <w:p>
            <w:pPr>
              <w:spacing w:after="40"/>
            </w:pPr>
            <w:r>
              <w:rPr>
                <w:rFonts w:ascii="Arial" w:hAnsi="Arial"/>
                <w:b/>
                <w:i w:val="0"/>
                <w:color w:val="B7791F"/>
                <w:sz w:val="18"/>
              </w:rPr>
              <w:t>REVIEW LIMITATION</w:t>
            </w:r>
          </w:p>
          <w:p>
            <w:pPr>
              <w:spacing w:after="0" w:line="259" w:lineRule="auto"/>
            </w:pPr>
            <w:r>
              <w:rPr>
                <w:rFonts w:ascii="Arial" w:hAnsi="Arial"/>
                <w:b/>
                <w:i w:val="0"/>
                <w:color w:val="0B2545"/>
                <w:sz w:val="22"/>
              </w:rPr>
              <w:t>The two MDU outcome records predate today's component modification timestamps and cannot prove the currently deployed version executed. No source PR diff or new buy-flow transaction was inspected or run.</w:t>
            </w:r>
          </w:p>
        </w:tc>
      </w:tr>
    </w:tbl>
    <w:p>
      <w:pPr>
        <w:spacing w:after="20"/>
      </w:pPr>
    </w:p>
    <w:p>
      <w:pPr>
        <w:pStyle w:val="Heading2"/>
        <w:keepNext/>
      </w:pPr>
      <w:r>
        <w:t>Ready-to-paste PR review comment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A"/>
          </w:tcPr>
          <w:p>
            <w:pPr>
              <w:spacing w:after="40"/>
            </w:pPr>
            <w:r>
              <w:rPr>
                <w:rFonts w:ascii="Arial" w:hAnsi="Arial"/>
                <w:b/>
                <w:i w:val="0"/>
                <w:color w:val="2E74B5"/>
                <w:sz w:val="18"/>
              </w:rPr>
              <w:t>PR COMMENT</w:t>
            </w:r>
          </w:p>
          <w:p>
            <w:pPr>
              <w:spacing w:after="0" w:line="259" w:lineRule="auto"/>
            </w:pPr>
            <w:r>
              <w:rPr>
                <w:rFonts w:ascii="Arial" w:hAnsi="Arial"/>
                <w:b/>
                <w:i w:val="0"/>
                <w:color w:val="0B2545"/>
                <w:sz w:val="22"/>
              </w:rPr>
              <w:t>Changes Requested for SCC-4485. DevA now contains the required logic: active SQ/OrderPipeline v5 passes Residential / Consumer / Residential defaults for the Consumer branch, AccountCreation classifies the documented MDU address variants as MDU Tenant, and all three Account fields are mapped. The remaining blocker is version/runtime state: the only AccountCreation v1 record is inactive while the active pipeline invokes it by bundle name. Please activate the intended mapper or provide evidence that this exact version resolves and executes under the org's runtime configuration. Also attach the exact PR/DataPack diff and one post-change MDU plus standard Residential execution result. The prior findings that Customer Type and MDU logic were missing do not apply to DevA. No deployment, activation, account creation, or org write was performed during this review.</w:t>
            </w:r>
          </w:p>
        </w:tc>
      </w:tr>
    </w:tbl>
    <w:p>
      <w:pPr>
        <w:spacing w:after="20"/>
      </w:pP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GreatPlainsDevA  |  Page </w:t>
    </w:r>
    <w:r>
      <w:rPr>
        <w:rFonts w:ascii="Arial" w:hAnsi="Arial"/>
        <w:b w:val="0"/>
        <w:i w:val="0"/>
        <w:color w:val="5B6777"/>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GreatPlainsDevA  |  Page </w:t>
    </w:r>
    <w:r>
      <w:rPr>
        <w:rFonts w:ascii="Arial" w:hAnsi="Arial"/>
        <w:b w:val="0"/>
        <w:i w:val="0"/>
        <w:color w:val="5B6777"/>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GreatPlainsDevA  |  Page </w:t>
    </w:r>
    <w:r>
      <w:rPr>
        <w:rFonts w:ascii="Arial" w:hAnsi="Arial"/>
        <w:b w:val="0"/>
        <w:i w:val="0"/>
        <w:color w:val="5B6777"/>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SCC-4485 Consumer Account GL Classification PR Review - DevA</dc:title>
  <dc:subject>DevA OmniStudio implementation and merge-readiness review</dc:subject>
  <dc:creator>Solution Architecture Review</dc:creator>
  <cp:keywords>Salesforce, Great Plains, SCC-4485, PR review, OmniStudio, AccountCreation, OrderPipeline, MDU Tenant</cp:keywords>
  <dc:description>generated by python-docx</dc:description>
  <cp:lastModifiedBy/>
  <cp:revision>1</cp:revision>
  <dcterms:created xsi:type="dcterms:W3CDTF">2013-12-23T23:15:00Z</dcterms:created>
  <dcterms:modified xsi:type="dcterms:W3CDTF">2013-12-23T23:15:00Z</dcterms:modified>
  <cp:category/>
</cp:coreProperties>
</file>