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PR REVIEW</w:t>
      </w:r>
    </w:p>
    <w:p>
      <w:pPr>
        <w:spacing w:after="80"/>
      </w:pPr>
      <w:r>
        <w:rPr>
          <w:rFonts w:ascii="Arial" w:hAnsi="Arial"/>
          <w:b/>
          <w:i w:val="0"/>
          <w:color w:val="0B2545"/>
          <w:sz w:val="50"/>
        </w:rPr>
        <w:t>SCC-4485 | Consumer Account GL Classification</w:t>
      </w:r>
    </w:p>
    <w:p>
      <w:pPr>
        <w:spacing w:after="320"/>
      </w:pPr>
      <w:r>
        <w:rPr>
          <w:rFonts w:ascii="Arial" w:hAnsi="Arial"/>
          <w:b w:val="0"/>
          <w:i w:val="0"/>
          <w:color w:val="5B6777"/>
          <w:sz w:val="26"/>
        </w:rPr>
        <w:t>GreatPlainsMerge | OmniStudio implementation and merge-readiness review</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Environment</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GreatPlainsMerge | 00DEa00000GkAsHMAV | Sandbox</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Review date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28 August 2026</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Evidence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Live OmniStudio configuration | Account schema | Aggregate Account read-back</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Request Changes - do not approve or merge</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PR review only; no deployment, activation, account creation, or org change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40"/>
            </w:pPr>
            <w:r>
              <w:rPr>
                <w:rFonts w:ascii="Arial" w:hAnsi="Arial"/>
                <w:b/>
                <w:i w:val="0"/>
                <w:color w:val="C53030"/>
                <w:sz w:val="18"/>
              </w:rPr>
              <w:t>MERGE DECISION</w:t>
            </w:r>
          </w:p>
          <w:p>
            <w:pPr>
              <w:spacing w:after="0" w:line="259" w:lineRule="auto"/>
            </w:pPr>
            <w:r>
              <w:rPr>
                <w:rFonts w:ascii="Arial" w:hAnsi="Arial"/>
                <w:b/>
                <w:i w:val="0"/>
                <w:color w:val="0B2545"/>
                <w:sz w:val="22"/>
              </w:rPr>
              <w:t>Request Changes. The active pipeline has no MDU classification, hard-codes Segment as Residential, and does not populate Customer Type. The story cannot be approved in its current state.</w:t>
            </w:r>
          </w:p>
        </w:tc>
      </w:tr>
    </w:tbl>
    <w:p>
      <w:pPr>
        <w:spacing w:after="20"/>
      </w:pPr>
    </w:p>
    <w:p>
      <w:pPr>
        <w:pStyle w:val="Heading1"/>
        <w:keepNext/>
      </w:pPr>
      <w:r>
        <w:t>Finding summary</w:t>
      </w:r>
    </w:p>
    <w:tbl>
      <w:tblPr>
        <w:tblStyle w:val="TableGrid"/>
        <w:tblW w:type="dxa" w:w="9360"/>
        <w:jc w:val="left"/>
        <w:tblLayout w:type="fixed"/>
        <w:tblLook w:firstColumn="1" w:firstRow="1" w:lastColumn="0" w:lastRow="0" w:noHBand="0" w:noVBand="1" w:val="04A0"/>
        <w:tblInd w:w="120" w:type="dxa"/>
      </w:tblPr>
      <w:tblGrid>
        <w:gridCol w:w="1050"/>
        <w:gridCol w:w="2050"/>
        <w:gridCol w:w="1400"/>
        <w:gridCol w:w="4860"/>
      </w:tblGrid>
      <w:tr>
        <w:trPr>
          <w:tblHeader w:val="true"/>
        </w:trPr>
        <w:tc>
          <w:tcPr>
            <w:tcW w:type="dxa" w:w="10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Severity</w:t>
            </w:r>
          </w:p>
        </w:tc>
        <w:tc>
          <w:tcPr>
            <w:tcW w:type="dxa" w:w="20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Location</w:t>
            </w:r>
          </w:p>
        </w:tc>
        <w:tc>
          <w:tcPr>
            <w:tcW w:type="dxa" w:w="14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48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Reviewer finding</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P0</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SQ/OrderPipeline v5</w:t>
            </w:r>
          </w:p>
        </w:tc>
        <w:tc>
          <w:tcPr>
            <w:tcW w:type="dxa" w:w="140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Blocker</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CreateConsumerAccount always passes Segment = Residential; no MDU branch exists.</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P0</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v1</w:t>
            </w:r>
          </w:p>
        </w:tc>
        <w:tc>
          <w:tcPr>
            <w:tcW w:type="dxa" w:w="140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Blocker</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input/output mapping populates Account.Customer_Type__c with Consumer.</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Version state</w:t>
            </w:r>
          </w:p>
        </w:tc>
        <w:tc>
          <w:tcPr>
            <w:tcW w:type="dxa" w:w="140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Changes</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v1 is marked inactive while the active pipeline invokes it by bundle name.</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Change isolation</w:t>
            </w:r>
          </w:p>
        </w:tc>
        <w:tc>
          <w:tcPr>
            <w:tcW w:type="dxa" w:w="140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Changes</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same mapper serves Consumer and Service Account actions; the PR must not broaden the new values to Service Accounts.</w:t>
            </w:r>
          </w:p>
        </w:tc>
      </w:tr>
      <w:tr>
        <w:tc>
          <w:tcPr>
            <w:tcW w:type="dxa" w:w="1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0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evidence</w:t>
            </w:r>
          </w:p>
        </w:tc>
        <w:tc>
          <w:tcPr>
            <w:tcW w:type="dxa" w:w="140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Blocked</w:t>
            </w:r>
          </w:p>
        </w:tc>
        <w:tc>
          <w:tcPr>
            <w:tcW w:type="dxa" w:w="48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PR URL, branch, commit, or exported DataPack diff was supplied for line-by-line review.</w:t>
            </w:r>
          </w:p>
        </w:tc>
      </w:tr>
    </w:tbl>
    <w:p>
      <w:pPr>
        <w:spacing w:after="20"/>
      </w:pPr>
    </w:p>
    <w:p>
      <w:r>
        <w:br w:type="page"/>
      </w:r>
    </w:p>
    <w:p>
      <w:pPr>
        <w:pStyle w:val="Heading1"/>
        <w:keepNext/>
      </w:pPr>
      <w:r>
        <w:t>Required implementation path</w:t>
      </w:r>
    </w:p>
    <w:p>
      <w:pPr>
        <w:spacing w:after="120" w:line="264" w:lineRule="auto"/>
      </w:pPr>
      <w:r>
        <w:rPr>
          <w:rFonts w:ascii="Arial" w:hAnsi="Arial"/>
          <w:b w:val="0"/>
          <w:i w:val="0"/>
          <w:color w:val="1F2937"/>
          <w:sz w:val="22"/>
        </w:rPr>
        <w:t>The PR should derive one MDU flag from the documented Place inputs, calculate the Account segment once, pass all three GL values into CreateConsumerAccount, and map them explicitly in AccountCreation.</w:t>
      </w:r>
    </w:p>
    <w:p>
      <w:pPr>
        <w:keepNext/>
        <w:jc w:val="center"/>
      </w:pPr>
      <w:r>
        <w:drawing>
          <wp:inline xmlns:a="http://schemas.openxmlformats.org/drawingml/2006/main" xmlns:pic="http://schemas.openxmlformats.org/drawingml/2006/picture">
            <wp:extent cx="5897880" cy="3686175"/>
            <wp:docPr id="1" name="Picture 1" title="Figure 1. SCC-4485 required PR correction path" descr="Diagram showing buy-flow address inputs normalized to an MDU flag, the current hard-coded and missing-field defects, required GL values, and explicit AccountCreation mappings."/>
            <wp:cNvGraphicFramePr>
              <a:graphicFrameLocks noChangeAspect="1"/>
            </wp:cNvGraphicFramePr>
            <a:graphic>
              <a:graphicData uri="http://schemas.openxmlformats.org/drawingml/2006/picture">
                <pic:pic>
                  <pic:nvPicPr>
                    <pic:cNvPr id="0" name="scc4485-pr-correction-path.png"/>
                    <pic:cNvPicPr/>
                  </pic:nvPicPr>
                  <pic:blipFill>
                    <a:blip r:embed="rId17"/>
                    <a:stretch>
                      <a:fillRect/>
                    </a:stretch>
                  </pic:blipFill>
                  <pic:spPr>
                    <a:xfrm>
                      <a:off x="0" y="0"/>
                      <a:ext cx="5897880" cy="3686175"/>
                    </a:xfrm>
                    <a:prstGeom prst="rect"/>
                  </pic:spPr>
                </pic:pic>
              </a:graphicData>
            </a:graphic>
          </wp:inline>
        </w:drawing>
      </w:r>
    </w:p>
    <w:p>
      <w:pPr>
        <w:keepNext/>
        <w:spacing w:before="40" w:after="160"/>
        <w:jc w:val="center"/>
      </w:pPr>
      <w:r>
        <w:rPr>
          <w:rFonts w:ascii="Arial" w:hAnsi="Arial"/>
          <w:b w:val="0"/>
          <w:i/>
          <w:color w:val="5B6777"/>
          <w:sz w:val="18"/>
        </w:rPr>
        <w:t>Figure 1. SCC-4485 required PR correction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REVIEWER INTERPRETATION</w:t>
            </w:r>
          </w:p>
          <w:p>
            <w:pPr>
              <w:spacing w:after="0" w:line="259" w:lineRule="auto"/>
            </w:pPr>
            <w:r>
              <w:rPr>
                <w:rFonts w:ascii="Arial" w:hAnsi="Arial"/>
                <w:b/>
                <w:i w:val="0"/>
                <w:color w:val="0B2545"/>
                <w:sz w:val="22"/>
              </w:rPr>
              <w:t>The classification belongs before the Data Mapper call. AccountCreation should receive explicit, final values and map them without relying on Account defaults or implicit record-type behavior.</w:t>
            </w:r>
          </w:p>
        </w:tc>
      </w:tr>
    </w:tbl>
    <w:p>
      <w:pPr>
        <w:spacing w:after="20"/>
      </w:pPr>
    </w:p>
    <w:p>
      <w:r>
        <w:br w:type="page"/>
      </w:r>
    </w:p>
    <w:p>
      <w:pPr>
        <w:pStyle w:val="Heading1"/>
        <w:keepNext/>
      </w:pPr>
      <w:r>
        <w:t>Detailed PR findings</w:t>
      </w:r>
    </w:p>
    <w:tbl>
      <w:tblPr>
        <w:tblStyle w:val="TableGrid"/>
        <w:tblW w:type="dxa" w:w="9360"/>
        <w:jc w:val="left"/>
        <w:tblLayout w:type="fixed"/>
        <w:tblLook w:firstColumn="1" w:firstRow="1" w:lastColumn="0" w:lastRow="0" w:noHBand="0" w:noVBand="1" w:val="04A0"/>
        <w:tblInd w:w="120" w:type="dxa"/>
      </w:tblPr>
      <w:tblGrid>
        <w:gridCol w:w="650"/>
        <w:gridCol w:w="1100"/>
        <w:gridCol w:w="2150"/>
        <w:gridCol w:w="2750"/>
        <w:gridCol w:w="2710"/>
      </w:tblGrid>
      <w:tr>
        <w:trPr>
          <w:tblHeader w:val="true"/>
        </w:trPr>
        <w:tc>
          <w:tcPr>
            <w:tcW w:type="dxa" w:w="6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ID</w:t>
            </w:r>
          </w:p>
        </w:tc>
        <w:tc>
          <w:tcPr>
            <w:tcW w:type="dxa" w:w="11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Severity</w:t>
            </w:r>
          </w:p>
        </w:tc>
        <w:tc>
          <w:tcPr>
            <w:tcW w:type="dxa" w:w="21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Component / location</w:t>
            </w:r>
          </w:p>
        </w:tc>
        <w:tc>
          <w:tcPr>
            <w:tcW w:type="dxa" w:w="27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Issue</w:t>
            </w:r>
          </w:p>
        </w:tc>
        <w:tc>
          <w:tcPr>
            <w:tcW w:type="dxa" w:w="271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Required modification</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PR-01</w:t>
            </w:r>
          </w:p>
        </w:tc>
        <w:tc>
          <w:tcPr>
            <w:tcW w:type="dxa" w:w="1100"/>
            <w:tcMar>
              <w:top w:w="80" w:type="dxa"/>
              <w:start w:w="120" w:type="dxa"/>
              <w:bottom w:w="80" w:type="dxa"/>
              <w:end w:w="120" w:type="dxa"/>
            </w:tcMar>
          </w:tcPr>
          <w:p>
            <w:pPr>
              <w:spacing w:before="0" w:after="0" w:line="252" w:lineRule="auto"/>
              <w:jc w:val="left"/>
            </w:pPr>
            <w:r/>
            <w:r>
              <w:rPr>
                <w:rFonts w:ascii="Arial" w:hAnsi="Arial"/>
                <w:b w:val="0"/>
                <w:i w:val="0"/>
                <w:color w:val="1F2937"/>
                <w:sz w:val="18"/>
              </w:rPr>
              <w:t>P0</w:t>
            </w:r>
          </w:p>
        </w:tc>
        <w:tc>
          <w:tcPr>
            <w:tcW w:type="dxa" w:w="2150"/>
            <w:tcMar>
              <w:top w:w="80" w:type="dxa"/>
              <w:start w:w="120" w:type="dxa"/>
              <w:bottom w:w="80" w:type="dxa"/>
              <w:end w:w="120" w:type="dxa"/>
            </w:tcMar>
          </w:tcPr>
          <w:p>
            <w:pPr>
              <w:spacing w:before="0" w:after="0" w:line="252" w:lineRule="auto"/>
              <w:jc w:val="left"/>
            </w:pPr>
            <w:r/>
            <w:r>
              <w:rPr>
                <w:rFonts w:ascii="Arial" w:hAnsi="Arial"/>
                <w:b w:val="0"/>
                <w:i w:val="0"/>
                <w:color w:val="1F2937"/>
                <w:sz w:val="18"/>
              </w:rPr>
              <w:t>OrderPipeline v5 &gt; Consumer Account action</w:t>
            </w:r>
          </w:p>
        </w:tc>
        <w:tc>
          <w:tcPr>
            <w:tcW w:type="dxa" w:w="275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additionalInput contains LineofBusiness = Residential and Segment = Residential. It contains no Place.buildingType, Place.Type, Unit, Multi-Family, or MDU condition.</w:t>
            </w:r>
          </w:p>
        </w:tc>
        <w:tc>
          <w:tcPr>
            <w:tcW w:type="dxa" w:w="271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 deterministic MDU classification and pass a derived segment instead of the hard-coded universal value.</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PR-02</w:t>
            </w:r>
          </w:p>
        </w:tc>
        <w:tc>
          <w:tcPr>
            <w:tcW w:type="dxa" w:w="1100"/>
            <w:tcMar>
              <w:top w:w="80" w:type="dxa"/>
              <w:start w:w="120" w:type="dxa"/>
              <w:bottom w:w="80" w:type="dxa"/>
              <w:end w:w="120" w:type="dxa"/>
            </w:tcMar>
          </w:tcPr>
          <w:p>
            <w:pPr>
              <w:spacing w:before="0" w:after="0" w:line="252" w:lineRule="auto"/>
              <w:jc w:val="left"/>
            </w:pPr>
            <w:r/>
            <w:r>
              <w:rPr>
                <w:rFonts w:ascii="Arial" w:hAnsi="Arial"/>
                <w:b w:val="0"/>
                <w:i w:val="0"/>
                <w:color w:val="1F2937"/>
                <w:sz w:val="18"/>
              </w:rPr>
              <w:t>P0</w:t>
            </w:r>
          </w:p>
        </w:tc>
        <w:tc>
          <w:tcPr>
            <w:tcW w:type="dxa" w:w="215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v1 &gt; Account output</w:t>
            </w:r>
          </w:p>
        </w:tc>
        <w:tc>
          <w:tcPr>
            <w:tcW w:type="dxa" w:w="2750"/>
            <w:tcMar>
              <w:top w:w="80" w:type="dxa"/>
              <w:start w:w="120" w:type="dxa"/>
              <w:bottom w:w="80" w:type="dxa"/>
              <w:end w:w="120" w:type="dxa"/>
            </w:tcMar>
          </w:tcPr>
          <w:p>
            <w:pPr>
              <w:spacing w:before="0" w:after="0" w:line="252" w:lineRule="auto"/>
              <w:jc w:val="left"/>
            </w:pPr>
            <w:r/>
            <w:r>
              <w:rPr>
                <w:rFonts w:ascii="Arial" w:hAnsi="Arial"/>
                <w:b w:val="0"/>
                <w:i w:val="0"/>
                <w:color w:val="1F2937"/>
                <w:sz w:val="18"/>
              </w:rPr>
              <w:t>LineofBusiness maps to Line_of_Business__c and Segment maps to Segment__c. No mapping targets Customer_Type__c.</w:t>
            </w:r>
          </w:p>
        </w:tc>
        <w:tc>
          <w:tcPr>
            <w:tcW w:type="dxa" w:w="271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 CustomerType = Consumer and add CustomerType -&gt; Account.Customer_Type__c.</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PR-03</w:t>
            </w:r>
          </w:p>
        </w:tc>
        <w:tc>
          <w:tcPr>
            <w:tcW w:type="dxa" w:w="110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150"/>
            <w:tcMar>
              <w:top w:w="80" w:type="dxa"/>
              <w:start w:w="120" w:type="dxa"/>
              <w:bottom w:w="80" w:type="dxa"/>
              <w:end w:w="120" w:type="dxa"/>
            </w:tcMar>
          </w:tcPr>
          <w:p>
            <w:pPr>
              <w:spacing w:before="0" w:after="0" w:line="252" w:lineRule="auto"/>
              <w:jc w:val="left"/>
            </w:pPr>
            <w:r/>
            <w:r>
              <w:rPr>
                <w:rFonts w:ascii="Arial" w:hAnsi="Arial"/>
                <w:b w:val="0"/>
                <w:i w:val="0"/>
                <w:color w:val="1F2937"/>
                <w:sz w:val="18"/>
              </w:rPr>
              <w:t>Customer Type field default</w:t>
            </w:r>
          </w:p>
        </w:tc>
        <w:tc>
          <w:tcPr>
            <w:tcW w:type="dxa" w:w="275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field default is Business, not Consumer, and recent Consumer Accounts are blank. A field default cannot satisfy this story.</w:t>
            </w:r>
          </w:p>
        </w:tc>
        <w:tc>
          <w:tcPr>
            <w:tcW w:type="dxa" w:w="2710"/>
            <w:tcMar>
              <w:top w:w="80" w:type="dxa"/>
              <w:start w:w="120" w:type="dxa"/>
              <w:bottom w:w="80" w:type="dxa"/>
              <w:end w:w="120" w:type="dxa"/>
            </w:tcMar>
          </w:tcPr>
          <w:p>
            <w:pPr>
              <w:spacing w:before="0" w:after="0" w:line="252" w:lineRule="auto"/>
              <w:jc w:val="left"/>
            </w:pPr>
            <w:r/>
            <w:r>
              <w:rPr>
                <w:rFonts w:ascii="Arial" w:hAnsi="Arial"/>
                <w:b w:val="0"/>
                <w:i w:val="0"/>
                <w:color w:val="1F2937"/>
                <w:sz w:val="18"/>
              </w:rPr>
              <w:t>Make the value explicit in the pipeline and mapper; do not depend on schema defaults.</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PR-04</w:t>
            </w:r>
          </w:p>
        </w:tc>
        <w:tc>
          <w:tcPr>
            <w:tcW w:type="dxa" w:w="110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15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version lifecycle</w:t>
            </w:r>
          </w:p>
        </w:tc>
        <w:tc>
          <w:tcPr>
            <w:tcW w:type="dxa" w:w="275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only AccountCreation record found is Load v1 and IsActive = false. The ticket does not identify an active replacement.</w:t>
            </w:r>
          </w:p>
        </w:tc>
        <w:tc>
          <w:tcPr>
            <w:tcW w:type="dxa" w:w="2710"/>
            <w:tcMar>
              <w:top w:w="80" w:type="dxa"/>
              <w:start w:w="120" w:type="dxa"/>
              <w:bottom w:w="80" w:type="dxa"/>
              <w:end w:w="120" w:type="dxa"/>
            </w:tcMar>
          </w:tcPr>
          <w:p>
            <w:pPr>
              <w:spacing w:before="0" w:after="0" w:line="252" w:lineRule="auto"/>
              <w:jc w:val="left"/>
            </w:pPr>
            <w:r/>
            <w:r>
              <w:rPr>
                <w:rFonts w:ascii="Arial" w:hAnsi="Arial"/>
                <w:b w:val="0"/>
                <w:i w:val="0"/>
                <w:color w:val="1F2937"/>
                <w:sz w:val="18"/>
              </w:rPr>
              <w:t>Include the intended version/state change and prove SQ/OrderPipeline resolves to that version after merge.</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PR-05</w:t>
            </w:r>
          </w:p>
        </w:tc>
        <w:tc>
          <w:tcPr>
            <w:tcW w:type="dxa" w:w="1100"/>
            <w:tcMar>
              <w:top w:w="80" w:type="dxa"/>
              <w:start w:w="120" w:type="dxa"/>
              <w:bottom w:w="80" w:type="dxa"/>
              <w:end w:w="120" w:type="dxa"/>
            </w:tcMar>
          </w:tcPr>
          <w:p>
            <w:pPr>
              <w:spacing w:before="0" w:after="0" w:line="252" w:lineRule="auto"/>
              <w:jc w:val="left"/>
            </w:pPr>
            <w:r/>
            <w:r>
              <w:rPr>
                <w:rFonts w:ascii="Arial" w:hAnsi="Arial"/>
                <w:b w:val="0"/>
                <w:i w:val="0"/>
                <w:color w:val="1F2937"/>
                <w:sz w:val="18"/>
              </w:rPr>
              <w:t>P1</w:t>
            </w:r>
          </w:p>
        </w:tc>
        <w:tc>
          <w:tcPr>
            <w:tcW w:type="dxa" w:w="2150"/>
            <w:tcMar>
              <w:top w:w="80" w:type="dxa"/>
              <w:start w:w="120" w:type="dxa"/>
              <w:bottom w:w="80" w:type="dxa"/>
              <w:end w:w="120" w:type="dxa"/>
            </w:tcMar>
          </w:tcPr>
          <w:p>
            <w:pPr>
              <w:spacing w:before="0" w:after="0" w:line="252" w:lineRule="auto"/>
              <w:jc w:val="left"/>
            </w:pPr>
            <w:r/>
            <w:r>
              <w:rPr>
                <w:rFonts w:ascii="Arial" w:hAnsi="Arial"/>
                <w:b w:val="0"/>
                <w:i w:val="0"/>
                <w:color w:val="1F2937"/>
                <w:sz w:val="18"/>
              </w:rPr>
              <w:t>Shared mapper and create semantics</w:t>
            </w:r>
          </w:p>
        </w:tc>
        <w:tc>
          <w:tcPr>
            <w:tcW w:type="dxa" w:w="2750"/>
            <w:tcMar>
              <w:top w:w="80" w:type="dxa"/>
              <w:start w:w="120" w:type="dxa"/>
              <w:bottom w:w="80" w:type="dxa"/>
              <w:end w:w="120" w:type="dxa"/>
            </w:tcMar>
          </w:tcPr>
          <w:p>
            <w:pPr>
              <w:spacing w:before="0" w:after="0" w:line="252" w:lineRule="auto"/>
              <w:jc w:val="left"/>
            </w:pPr>
            <w:r/>
            <w:r>
              <w:rPr>
                <w:rFonts w:ascii="Arial" w:hAnsi="Arial"/>
                <w:b w:val="0"/>
                <w:i w:val="0"/>
                <w:color w:val="1F2937"/>
                <w:sz w:val="18"/>
              </w:rPr>
              <w:t>CreateConsumerAccount and CreateServiceAccount both invoke AccountCreation. The Account Id output remains disabled, indicating create-only behavior.</w:t>
            </w:r>
          </w:p>
        </w:tc>
        <w:tc>
          <w:tcPr>
            <w:tcW w:type="dxa" w:w="2710"/>
            <w:tcMar>
              <w:top w:w="80" w:type="dxa"/>
              <w:start w:w="120" w:type="dxa"/>
              <w:bottom w:w="80" w:type="dxa"/>
              <w:end w:w="120" w:type="dxa"/>
            </w:tcMar>
          </w:tcPr>
          <w:p>
            <w:pPr>
              <w:spacing w:before="0" w:after="0" w:line="252" w:lineRule="auto"/>
              <w:jc w:val="left"/>
            </w:pPr>
            <w:r/>
            <w:r>
              <w:rPr>
                <w:rFonts w:ascii="Arial" w:hAnsi="Arial"/>
                <w:b w:val="0"/>
                <w:i w:val="0"/>
                <w:color w:val="1F2937"/>
                <w:sz w:val="18"/>
              </w:rPr>
              <w:t>Keep Customer Type and MDU Segment Consumer-only; do not enable Id/upsert behavior or update existing Accounts.</w:t>
            </w:r>
          </w:p>
        </w:tc>
      </w:tr>
      <w:tr>
        <w:tc>
          <w:tcPr>
            <w:tcW w:type="dxa" w:w="650"/>
            <w:tcMar>
              <w:top w:w="80" w:type="dxa"/>
              <w:start w:w="120" w:type="dxa"/>
              <w:bottom w:w="80" w:type="dxa"/>
              <w:end w:w="120" w:type="dxa"/>
            </w:tcMar>
          </w:tcPr>
          <w:p>
            <w:pPr>
              <w:spacing w:before="0" w:after="0" w:line="252" w:lineRule="auto"/>
              <w:jc w:val="left"/>
            </w:pPr>
            <w:r/>
            <w:r>
              <w:rPr>
                <w:rFonts w:ascii="Arial" w:hAnsi="Arial"/>
                <w:b w:val="0"/>
                <w:i w:val="0"/>
                <w:color w:val="1F2937"/>
                <w:sz w:val="18"/>
              </w:rPr>
              <w:t>PR-06</w:t>
            </w:r>
          </w:p>
        </w:tc>
        <w:tc>
          <w:tcPr>
            <w:tcW w:type="dxa" w:w="1100"/>
            <w:tcMar>
              <w:top w:w="80" w:type="dxa"/>
              <w:start w:w="120" w:type="dxa"/>
              <w:bottom w:w="80" w:type="dxa"/>
              <w:end w:w="120" w:type="dxa"/>
            </w:tcMar>
          </w:tcPr>
          <w:p>
            <w:pPr>
              <w:spacing w:before="0" w:after="0" w:line="252" w:lineRule="auto"/>
              <w:jc w:val="left"/>
            </w:pPr>
            <w:r/>
            <w:r>
              <w:rPr>
                <w:rFonts w:ascii="Arial" w:hAnsi="Arial"/>
                <w:b w:val="0"/>
                <w:i w:val="0"/>
                <w:color w:val="1F2937"/>
                <w:sz w:val="18"/>
              </w:rPr>
              <w:t>P2</w:t>
            </w:r>
          </w:p>
        </w:tc>
        <w:tc>
          <w:tcPr>
            <w:tcW w:type="dxa" w:w="2150"/>
            <w:tcMar>
              <w:top w:w="80" w:type="dxa"/>
              <w:start w:w="120" w:type="dxa"/>
              <w:bottom w:w="80" w:type="dxa"/>
              <w:end w:w="120" w:type="dxa"/>
            </w:tcMar>
          </w:tcPr>
          <w:p>
            <w:pPr>
              <w:spacing w:before="0" w:after="0" w:line="252" w:lineRule="auto"/>
              <w:jc w:val="left"/>
            </w:pPr>
            <w:r/>
            <w:r>
              <w:rPr>
                <w:rFonts w:ascii="Arial" w:hAnsi="Arial"/>
                <w:b w:val="0"/>
                <w:i w:val="0"/>
                <w:color w:val="1F2937"/>
                <w:sz w:val="18"/>
              </w:rPr>
              <w:t>Component identity</w:t>
            </w:r>
          </w:p>
        </w:tc>
        <w:tc>
          <w:tcPr>
            <w:tcW w:type="dxa" w:w="275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ticket calls the component SQ_OrderPipeline; the live key is Type SQ / SubType OrderPipeline, Name SQtoOrderPipeline, active v5.</w:t>
            </w:r>
          </w:p>
        </w:tc>
        <w:tc>
          <w:tcPr>
            <w:tcW w:type="dxa" w:w="2710"/>
            <w:tcMar>
              <w:top w:w="80" w:type="dxa"/>
              <w:start w:w="120" w:type="dxa"/>
              <w:bottom w:w="80" w:type="dxa"/>
              <w:end w:w="120" w:type="dxa"/>
            </w:tcMar>
          </w:tcPr>
          <w:p>
            <w:pPr>
              <w:spacing w:before="0" w:after="0" w:line="252" w:lineRule="auto"/>
              <w:jc w:val="left"/>
            </w:pPr>
            <w:r/>
            <w:r>
              <w:rPr>
                <w:rFonts w:ascii="Arial" w:hAnsi="Arial"/>
                <w:b w:val="0"/>
                <w:i w:val="0"/>
                <w:color w:val="1F2937"/>
                <w:sz w:val="18"/>
              </w:rPr>
              <w:t>Use the exact exported component key in the PR and review notes to prevent reviewing or packaging the wrong asset.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40"/>
            </w:pPr>
            <w:r>
              <w:rPr>
                <w:rFonts w:ascii="Arial" w:hAnsi="Arial"/>
                <w:b/>
                <w:i w:val="0"/>
                <w:color w:val="C53030"/>
                <w:sz w:val="18"/>
              </w:rPr>
              <w:t>REVIEW CONCLUSION</w:t>
            </w:r>
          </w:p>
          <w:p>
            <w:pPr>
              <w:spacing w:after="0" w:line="259" w:lineRule="auto"/>
            </w:pPr>
            <w:r>
              <w:rPr>
                <w:rFonts w:ascii="Arial" w:hAnsi="Arial"/>
                <w:b/>
                <w:i w:val="0"/>
                <w:color w:val="0B2545"/>
                <w:sz w:val="22"/>
              </w:rPr>
              <w:t>PR-01 and PR-02 are merge blockers. The remaining findings control version safety, change isolation, and reviewability and should be resolved in the same PR.</w:t>
            </w:r>
          </w:p>
        </w:tc>
      </w:tr>
    </w:tbl>
    <w:p>
      <w:pPr>
        <w:spacing w:after="20"/>
      </w:pPr>
    </w:p>
    <w:p>
      <w:r>
        <w:br w:type="page"/>
      </w:r>
    </w:p>
    <w:p>
      <w:pPr>
        <w:pStyle w:val="Heading1"/>
        <w:keepNext/>
      </w:pPr>
      <w:r>
        <w:t>Required PR modifications</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trPr>
        <w:tc>
          <w:tcPr>
            <w:tcW w:type="dxa" w:w="19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Change area</w:t>
            </w:r>
          </w:p>
        </w:tc>
        <w:tc>
          <w:tcPr>
            <w:tcW w:type="dxa" w:w="29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Current implementation</w:t>
            </w:r>
          </w:p>
        </w:tc>
        <w:tc>
          <w:tcPr>
            <w:tcW w:type="dxa" w:w="45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Required PR content</w:t>
            </w:r>
          </w:p>
        </w:tc>
      </w:tr>
      <w:tr>
        <w:tc>
          <w:tcPr>
            <w:tcW w:type="dxa" w:w="1900"/>
            <w:tcMar>
              <w:top w:w="80" w:type="dxa"/>
              <w:start w:w="120" w:type="dxa"/>
              <w:bottom w:w="80" w:type="dxa"/>
              <w:end w:w="120" w:type="dxa"/>
            </w:tcMar>
          </w:tcPr>
          <w:p>
            <w:pPr>
              <w:spacing w:before="0" w:after="0" w:line="252" w:lineRule="auto"/>
              <w:jc w:val="left"/>
            </w:pPr>
            <w:r/>
            <w:r>
              <w:rPr>
                <w:rFonts w:ascii="Arial" w:hAnsi="Arial"/>
                <w:b w:val="0"/>
                <w:i w:val="0"/>
                <w:color w:val="1F2937"/>
                <w:sz w:val="18"/>
              </w:rPr>
              <w:t>MDU classifier</w:t>
            </w:r>
          </w:p>
        </w:tc>
        <w:tc>
          <w:tcPr>
            <w:tcW w:type="dxa" w:w="290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classifier is referenced</w:t>
            </w:r>
          </w:p>
        </w:tc>
        <w:tc>
          <w:tcPr>
            <w:tcW w:type="dxa" w:w="4560"/>
            <w:tcMar>
              <w:top w:w="80" w:type="dxa"/>
              <w:start w:w="120" w:type="dxa"/>
              <w:bottom w:w="80" w:type="dxa"/>
              <w:end w:w="120" w:type="dxa"/>
            </w:tcMar>
          </w:tcPr>
          <w:p>
            <w:pPr>
              <w:spacing w:before="0" w:after="0" w:line="252" w:lineRule="auto"/>
              <w:jc w:val="left"/>
            </w:pPr>
            <w:r/>
            <w:r>
              <w:rPr>
                <w:rFonts w:ascii="Arial" w:hAnsi="Arial"/>
                <w:b w:val="0"/>
                <w:i w:val="0"/>
                <w:color w:val="1F2937"/>
                <w:sz w:val="18"/>
              </w:rPr>
              <w:t>Create isMduTenant from buildingType in {MDU, MDU Tenant, Multi-Family} OR Place.Type = Unit.</w:t>
            </w:r>
          </w:p>
        </w:tc>
      </w:tr>
      <w:tr>
        <w:tc>
          <w:tcPr>
            <w:tcW w:type="dxa" w:w="19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Derived Segment</w:t>
            </w:r>
          </w:p>
        </w:tc>
        <w:tc>
          <w:tcPr>
            <w:tcW w:type="dxa" w:w="29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Residential for every Consumer</w:t>
            </w:r>
          </w:p>
        </w:tc>
        <w:tc>
          <w:tcPr>
            <w:tcW w:type="dxa" w:w="4560"/>
            <w:tcMar>
              <w:top w:w="80" w:type="dxa"/>
              <w:start w:w="120" w:type="dxa"/>
              <w:bottom w:w="80" w:type="dxa"/>
              <w:end w:w="120" w:type="dxa"/>
            </w:tcMar>
          </w:tcPr>
          <w:p>
            <w:pPr>
              <w:spacing w:before="0" w:after="0" w:line="252" w:lineRule="auto"/>
              <w:jc w:val="left"/>
            </w:pPr>
            <w:r/>
            <w:r>
              <w:rPr>
                <w:rFonts w:ascii="Arial" w:hAnsi="Arial"/>
                <w:b w:val="0"/>
                <w:i w:val="0"/>
                <w:color w:val="1F2937"/>
                <w:sz w:val="18"/>
              </w:rPr>
              <w:t>Set AccountSegment to MDU Tenant when isMduTenant is true; otherwise Residential.</w:t>
            </w:r>
          </w:p>
        </w:tc>
      </w:tr>
      <w:tr>
        <w:tc>
          <w:tcPr>
            <w:tcW w:type="dxa" w:w="19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Consumer inputs</w:t>
            </w:r>
          </w:p>
        </w:tc>
        <w:tc>
          <w:tcPr>
            <w:tcW w:type="dxa" w:w="2900"/>
            <w:tcMar>
              <w:top w:w="80" w:type="dxa"/>
              <w:start w:w="120" w:type="dxa"/>
              <w:bottom w:w="80" w:type="dxa"/>
              <w:end w:w="120" w:type="dxa"/>
            </w:tcMar>
          </w:tcPr>
          <w:p>
            <w:pPr>
              <w:spacing w:before="0" w:after="0" w:line="252" w:lineRule="auto"/>
              <w:jc w:val="left"/>
            </w:pPr>
            <w:r/>
            <w:r>
              <w:rPr>
                <w:rFonts w:ascii="Arial" w:hAnsi="Arial"/>
                <w:b w:val="0"/>
                <w:i w:val="0"/>
                <w:color w:val="1F2937"/>
                <w:sz w:val="18"/>
              </w:rPr>
              <w:t>LineofBusiness and Segment only</w:t>
            </w:r>
          </w:p>
        </w:tc>
        <w:tc>
          <w:tcPr>
            <w:tcW w:type="dxa" w:w="456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 LineofBusiness = Residential, CustomerType = Consumer, and Segment = AccountSegment.</w:t>
            </w:r>
          </w:p>
        </w:tc>
      </w:tr>
      <w:tr>
        <w:tc>
          <w:tcPr>
            <w:tcW w:type="dxa" w:w="1900"/>
            <w:tcMar>
              <w:top w:w="80" w:type="dxa"/>
              <w:start w:w="120" w:type="dxa"/>
              <w:bottom w:w="80" w:type="dxa"/>
              <w:end w:w="120" w:type="dxa"/>
            </w:tcMar>
          </w:tcPr>
          <w:p>
            <w:pPr>
              <w:spacing w:before="0" w:after="0" w:line="252" w:lineRule="auto"/>
              <w:jc w:val="left"/>
            </w:pPr>
            <w:r/>
            <w:r>
              <w:rPr>
                <w:rFonts w:ascii="Arial" w:hAnsi="Arial"/>
                <w:b w:val="0"/>
                <w:i w:val="0"/>
                <w:color w:val="1F2937"/>
                <w:sz w:val="18"/>
              </w:rPr>
              <w:t>Data Mapper</w:t>
            </w:r>
          </w:p>
        </w:tc>
        <w:tc>
          <w:tcPr>
            <w:tcW w:type="dxa" w:w="2900"/>
            <w:tcMar>
              <w:top w:w="80" w:type="dxa"/>
              <w:start w:w="120" w:type="dxa"/>
              <w:bottom w:w="80" w:type="dxa"/>
              <w:end w:w="120" w:type="dxa"/>
            </w:tcMar>
          </w:tcPr>
          <w:p>
            <w:pPr>
              <w:spacing w:before="0" w:after="0" w:line="252" w:lineRule="auto"/>
              <w:jc w:val="left"/>
            </w:pPr>
            <w:r/>
            <w:r>
              <w:rPr>
                <w:rFonts w:ascii="Arial" w:hAnsi="Arial"/>
                <w:b w:val="0"/>
                <w:i w:val="0"/>
                <w:color w:val="1F2937"/>
                <w:sz w:val="18"/>
              </w:rPr>
              <w:t>Maps Line of Business and Segment</w:t>
            </w:r>
          </w:p>
        </w:tc>
        <w:tc>
          <w:tcPr>
            <w:tcW w:type="dxa" w:w="456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 CustomerType -&gt; Customer_Type__c; retain existing Line and Segment mappings.</w:t>
            </w:r>
          </w:p>
        </w:tc>
      </w:tr>
      <w:tr>
        <w:tc>
          <w:tcPr>
            <w:tcW w:type="dxa" w:w="1900"/>
            <w:tcMar>
              <w:top w:w="80" w:type="dxa"/>
              <w:start w:w="120" w:type="dxa"/>
              <w:bottom w:w="80" w:type="dxa"/>
              <w:end w:w="120" w:type="dxa"/>
            </w:tcMar>
          </w:tcPr>
          <w:p>
            <w:pPr>
              <w:spacing w:before="0" w:after="0" w:line="252" w:lineRule="auto"/>
              <w:jc w:val="left"/>
            </w:pPr>
            <w:r/>
            <w:r>
              <w:rPr>
                <w:rFonts w:ascii="Arial" w:hAnsi="Arial"/>
                <w:b w:val="0"/>
                <w:i w:val="0"/>
                <w:color w:val="1F2937"/>
                <w:sz w:val="18"/>
              </w:rPr>
              <w:t>Scope guard</w:t>
            </w:r>
          </w:p>
        </w:tc>
        <w:tc>
          <w:tcPr>
            <w:tcW w:type="dxa" w:w="2900"/>
            <w:tcMar>
              <w:top w:w="80" w:type="dxa"/>
              <w:start w:w="120" w:type="dxa"/>
              <w:bottom w:w="80" w:type="dxa"/>
              <w:end w:w="120" w:type="dxa"/>
            </w:tcMar>
          </w:tcPr>
          <w:p>
            <w:pPr>
              <w:spacing w:before="0" w:after="0" w:line="252" w:lineRule="auto"/>
              <w:jc w:val="left"/>
            </w:pPr>
            <w:r/>
            <w:r>
              <w:rPr>
                <w:rFonts w:ascii="Arial" w:hAnsi="Arial"/>
                <w:b w:val="0"/>
                <w:i w:val="0"/>
                <w:color w:val="1F2937"/>
                <w:sz w:val="18"/>
              </w:rPr>
              <w:t>Shared mapper</w:t>
            </w:r>
          </w:p>
        </w:tc>
        <w:tc>
          <w:tcPr>
            <w:tcW w:type="dxa" w:w="4560"/>
            <w:tcMar>
              <w:top w:w="80" w:type="dxa"/>
              <w:start w:w="120" w:type="dxa"/>
              <w:bottom w:w="80" w:type="dxa"/>
              <w:end w:w="120" w:type="dxa"/>
            </w:tcMar>
          </w:tcPr>
          <w:p>
            <w:pPr>
              <w:spacing w:before="0" w:after="0" w:line="252" w:lineRule="auto"/>
              <w:jc w:val="left"/>
            </w:pPr>
            <w:r/>
            <w:r>
              <w:rPr>
                <w:rFonts w:ascii="Arial" w:hAnsi="Arial"/>
                <w:b w:val="0"/>
                <w:i w:val="0"/>
                <w:color w:val="1F2937"/>
                <w:sz w:val="18"/>
              </w:rPr>
              <w:t>Apply new classification inputs only under the Consumer record-type branch; preserve Service Account inputs.</w:t>
            </w:r>
          </w:p>
        </w:tc>
      </w:tr>
      <w:tr>
        <w:tc>
          <w:tcPr>
            <w:tcW w:type="dxa" w:w="1900"/>
            <w:tcMar>
              <w:top w:w="80" w:type="dxa"/>
              <w:start w:w="120" w:type="dxa"/>
              <w:bottom w:w="80" w:type="dxa"/>
              <w:end w:w="120" w:type="dxa"/>
            </w:tcMar>
          </w:tcPr>
          <w:p>
            <w:pPr>
              <w:spacing w:before="0" w:after="0" w:line="252" w:lineRule="auto"/>
              <w:jc w:val="left"/>
            </w:pPr>
            <w:r/>
            <w:r>
              <w:rPr>
                <w:rFonts w:ascii="Arial" w:hAnsi="Arial"/>
                <w:b w:val="0"/>
                <w:i w:val="0"/>
                <w:color w:val="1F2937"/>
                <w:sz w:val="18"/>
              </w:rPr>
              <w:t>Create-only guard</w:t>
            </w:r>
          </w:p>
        </w:tc>
        <w:tc>
          <w:tcPr>
            <w:tcW w:type="dxa" w:w="29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 Id output disabled</w:t>
            </w:r>
          </w:p>
        </w:tc>
        <w:tc>
          <w:tcPr>
            <w:tcW w:type="dxa" w:w="4560"/>
            <w:tcMar>
              <w:top w:w="80" w:type="dxa"/>
              <w:start w:w="120" w:type="dxa"/>
              <w:bottom w:w="80" w:type="dxa"/>
              <w:end w:w="120" w:type="dxa"/>
            </w:tcMar>
          </w:tcPr>
          <w:p>
            <w:pPr>
              <w:spacing w:before="0" w:after="0" w:line="252" w:lineRule="auto"/>
              <w:jc w:val="left"/>
            </w:pPr>
            <w:r/>
            <w:r>
              <w:rPr>
                <w:rFonts w:ascii="Arial" w:hAnsi="Arial"/>
                <w:b w:val="0"/>
                <w:i w:val="0"/>
                <w:color w:val="1F2937"/>
                <w:sz w:val="18"/>
              </w:rPr>
              <w:t>Keep Id/upsert mappings disabled so existing accounts remain outside SCC-4485.</w:t>
            </w:r>
          </w:p>
        </w:tc>
      </w:tr>
    </w:tbl>
    <w:p>
      <w:pPr>
        <w:spacing w:after="20"/>
      </w:pPr>
    </w:p>
    <w:p>
      <w:pPr>
        <w:pStyle w:val="Heading2"/>
        <w:keepNext/>
      </w:pPr>
      <w:r>
        <w:t>Implementation shape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PSEUDOCODE - ADAPT TO OMNISTUDIO FORMULA SYNTAX</w:t>
            </w:r>
          </w:p>
          <w:p>
            <w:pPr>
              <w:spacing w:after="0" w:line="259" w:lineRule="auto"/>
            </w:pPr>
            <w:r>
              <w:rPr>
                <w:rFonts w:ascii="Arial" w:hAnsi="Arial"/>
                <w:b/>
                <w:i w:val="0"/>
                <w:color w:val="0B2545"/>
                <w:sz w:val="22"/>
              </w:rPr>
              <w:t>isMduTenant = allowed buildingType OR Place.Type equals Unit; AccountSegment = IF(isMduTenant, MDU Tenant, Residential); CreateConsumerAccount inputs = Residential / Consumer / AccountSegment.</w:t>
            </w:r>
          </w:p>
        </w:tc>
      </w:tr>
    </w:tbl>
    <w:p>
      <w:pPr>
        <w:spacing w:after="20"/>
      </w:pPr>
    </w:p>
    <w:p>
      <w:pPr>
        <w:pStyle w:val="Heading2"/>
        <w:keepNext/>
      </w:pPr>
      <w:r>
        <w:t>PR merge checklist</w:t>
      </w:r>
    </w:p>
    <w:tbl>
      <w:tblPr>
        <w:tblStyle w:val="TableGrid"/>
        <w:tblW w:type="dxa" w:w="9360"/>
        <w:jc w:val="left"/>
        <w:tblLayout w:type="fixed"/>
        <w:tblLook w:firstColumn="1" w:firstRow="1" w:lastColumn="0" w:lastRow="0" w:noHBand="0" w:noVBand="1" w:val="04A0"/>
        <w:tblInd w:w="120" w:type="dxa"/>
      </w:tblPr>
      <w:tblGrid>
        <w:gridCol w:w="600"/>
        <w:gridCol w:w="6900"/>
        <w:gridCol w:w="1860"/>
      </w:tblGrid>
      <w:tr>
        <w:trPr>
          <w:tblHeader w:val="true"/>
        </w:trPr>
        <w:tc>
          <w:tcPr>
            <w:tcW w:type="dxa" w:w="6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69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Merge check</w:t>
            </w:r>
          </w:p>
        </w:tc>
        <w:tc>
          <w:tcPr>
            <w:tcW w:type="dxa" w:w="18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Status</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1</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Pipeline diff removes universal Residential segment</w:t>
            </w:r>
          </w:p>
        </w:tc>
        <w:tc>
          <w:tcPr>
            <w:tcW w:type="dxa" w:w="186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Required</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2</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Mapper diff adds Customer_Type__c mapping</w:t>
            </w:r>
          </w:p>
        </w:tc>
        <w:tc>
          <w:tcPr>
            <w:tcW w:type="dxa" w:w="186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Required</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3</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Consumer-only scope is explicit</w:t>
            </w:r>
          </w:p>
        </w:tc>
        <w:tc>
          <w:tcPr>
            <w:tcW w:type="dxa" w:w="186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Required</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4</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active/version target is unambiguous</w:t>
            </w:r>
          </w:p>
        </w:tc>
        <w:tc>
          <w:tcPr>
            <w:tcW w:type="dxa" w:w="186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Required</w:t>
            </w:r>
          </w:p>
        </w:tc>
      </w:tr>
      <w:tr>
        <w:tc>
          <w:tcPr>
            <w:tcW w:type="dxa" w:w="600"/>
            <w:tcMar>
              <w:top w:w="80" w:type="dxa"/>
              <w:start w:w="120" w:type="dxa"/>
              <w:bottom w:w="80" w:type="dxa"/>
              <w:end w:w="120" w:type="dxa"/>
            </w:tcMar>
          </w:tcPr>
          <w:p>
            <w:pPr>
              <w:spacing w:before="0" w:after="0" w:line="252" w:lineRule="auto"/>
              <w:jc w:val="left"/>
            </w:pPr>
            <w:r/>
            <w:r>
              <w:rPr>
                <w:rFonts w:ascii="Arial" w:hAnsi="Arial"/>
                <w:b w:val="0"/>
                <w:i w:val="0"/>
                <w:color w:val="1F2937"/>
                <w:sz w:val="18"/>
              </w:rPr>
              <w:t>5</w:t>
            </w:r>
          </w:p>
        </w:tc>
        <w:tc>
          <w:tcPr>
            <w:tcW w:type="dxa" w:w="69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or exported DataPack diff is attached for re-review</w:t>
            </w:r>
          </w:p>
        </w:tc>
        <w:tc>
          <w:tcPr>
            <w:tcW w:type="dxa" w:w="186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Blocked</w:t>
            </w:r>
          </w:p>
        </w:tc>
      </w:tr>
    </w:tbl>
    <w:p>
      <w:pPr>
        <w:spacing w:after="20"/>
      </w:pPr>
    </w:p>
    <w:p>
      <w:r>
        <w:br w:type="page"/>
      </w:r>
    </w:p>
    <w:p>
      <w:pPr>
        <w:pStyle w:val="Heading1"/>
        <w:keepNext/>
      </w:pPr>
      <w:r>
        <w:t>Review evidence and limitations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Evidence source</w:t>
            </w:r>
          </w:p>
        </w:tc>
        <w:tc>
          <w:tcPr>
            <w:tcW w:type="dxa" w:w="71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Confirmed result</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Target org</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GreatPlainsMerge | Great Plains Communications | 00DEa00000GkAsHMAV | Sandbox</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Active pipeline</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SQ / OrderPipeline | SQtoOrderPipeline v5 | active | 7 active elements</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Data Mapper</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AccountCreation | Load v1 | inactive | 46 items</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 fields</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Line_of_Business__c, Customer_Type__c, Segment__c; required picklist values exist</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Current outcome signal</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64 Consumer Accounts since 12 August: Residential / blank / Residential; 8 created by Heroku Applink Service</w:t>
            </w:r>
          </w:p>
        </w:tc>
      </w:tr>
      <w:tr>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Configuration search</w:t>
            </w:r>
          </w:p>
        </w:tc>
        <w:tc>
          <w:tcPr>
            <w:tcW w:type="dxa" w:w="71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MDU, buildingType, Multi-Family, Unit, Place, or CustomerType logic in active pipeline elements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40"/>
            </w:pPr>
            <w:r>
              <w:rPr>
                <w:rFonts w:ascii="Arial" w:hAnsi="Arial"/>
                <w:b/>
                <w:i w:val="0"/>
                <w:color w:val="B7791F"/>
                <w:sz w:val="18"/>
              </w:rPr>
              <w:t>REVIEW LIMITATION</w:t>
            </w:r>
          </w:p>
          <w:p>
            <w:pPr>
              <w:spacing w:after="0" w:line="259" w:lineRule="auto"/>
            </w:pPr>
            <w:r>
              <w:rPr>
                <w:rFonts w:ascii="Arial" w:hAnsi="Arial"/>
                <w:b/>
                <w:i w:val="0"/>
                <w:color w:val="0B2545"/>
                <w:sz w:val="22"/>
              </w:rPr>
              <w:t>No repository PR URL, source branch, commit, or exported DataPack diff was provided. This is a PR-readiness review of the live configuration, not a claim that a specific code diff was inspected.</w:t>
            </w:r>
          </w:p>
        </w:tc>
      </w:tr>
    </w:tbl>
    <w:p>
      <w:pPr>
        <w:spacing w:after="20"/>
      </w:pPr>
    </w:p>
    <w:p>
      <w:pPr>
        <w:pStyle w:val="Heading2"/>
        <w:keepNext/>
      </w:pPr>
      <w:r>
        <w:t>Ready-to-paste PR review comment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PR COMMENT</w:t>
            </w:r>
          </w:p>
          <w:p>
            <w:pPr>
              <w:spacing w:after="0" w:line="259" w:lineRule="auto"/>
            </w:pPr>
            <w:r>
              <w:rPr>
                <w:rFonts w:ascii="Arial" w:hAnsi="Arial"/>
                <w:b/>
                <w:i w:val="0"/>
                <w:color w:val="0B2545"/>
                <w:sz w:val="22"/>
              </w:rPr>
              <w:t>Request Changes for SCC-4485. In active SQ/OrderPipeline v5, CreateConsumerAccount still passes LineofBusiness = Residential and Segment = Residential for every Consumer Account and contains no MDU classification. AccountCreation maps Line of Business and Segment but has no mapping to Customer_Type__c; the field default is Business and recent Consumer Accounts are blank. Update the PR to derive one isMduTenant flag from the documented Place values, pass Segment as MDU Tenant or Residential accordingly, pass CustomerType = Consumer, and add the Customer_Type__c mapping. Keep the change Consumer-only, preserve Service Account inputs and create-only behavior, and include the exact SQ/OrderPipeline plus AccountCreation DataPack diff and intended active version for re-review. No deployment, activation, account creation, or org write was performed during this review.</w:t>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SCC-4485 Consumer Account GL Classification PR Review</dc:title>
  <dc:subject>OmniStudio implementation and merge-readiness review</dc:subject>
  <dc:creator>Solution Architecture Review</dc:creator>
  <cp:keywords>Salesforce, Great Plains, SCC-4485, PR review, OmniStudio, AccountCreation, OrderPipeline, MDU Tenant</cp:keywords>
  <dc:description>generated by python-docx</dc:description>
  <cp:lastModifiedBy/>
  <cp:revision>1</cp:revision>
  <dcterms:created xsi:type="dcterms:W3CDTF">2013-12-23T23:15:00Z</dcterms:created>
  <dcterms:modified xsi:type="dcterms:W3CDTF">2013-12-23T23:15:00Z</dcterms:modified>
  <cp:category/>
</cp:coreProperties>
</file>