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ptos Display" w:hAnsi="Aptos Display"/>
          <w:b/>
          <w:color w:val="000000"/>
          <w:sz w:val="37"/>
        </w:rPr>
        <w:t>Acuerdo de entrega y mantenimiento de la aplicación</w:t>
      </w:r>
    </w:p>
    <w:p>
      <w:pPr>
        <w:spacing w:after="180"/>
      </w:pPr>
      <w:r>
        <w:rPr>
          <w:rFonts w:ascii="Aptos" w:hAnsi="Aptos"/>
          <w:b/>
          <w:color w:val="245B45"/>
          <w:sz w:val="21"/>
        </w:rPr>
        <w:t>Iahadut HaTora Catálogo oficial  |  ar.vaad.catalogo.app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68"/>
        <w:gridCol w:w="4968"/>
      </w:tblGrid>
      <w:tr>
        <w:tc>
          <w:tcPr>
            <w:tcW w:type="dxa" w:w="5083"/>
            <w:shd w:fill="EAF2ED"/>
            <w:vAlign w:val="center"/>
            <w:tcMar>
              <w:top w:w="130" w:type="dxa"/>
              <w:start w:w="130" w:type="dxa"/>
              <w:bottom w:w="130" w:type="dxa"/>
              <w:end w:w="130" w:type="dxa"/>
            </w:tcMar>
          </w:tcPr>
          <w:p>
            <w:r>
              <w:rPr>
                <w:rFonts w:ascii="Aptos" w:hAnsi="Aptos"/>
                <w:b/>
                <w:color w:val="245B45"/>
                <w:sz w:val="18"/>
              </w:rPr>
              <w:t>Prestador</w:t>
            </w:r>
          </w:p>
        </w:tc>
        <w:tc>
          <w:tcPr>
            <w:tcW w:type="dxa" w:w="5083"/>
            <w:vAlign w:val="center"/>
            <w:tcMar>
              <w:top w:w="130" w:type="dxa"/>
              <w:start w:w="130" w:type="dxa"/>
              <w:bottom w:w="130" w:type="dxa"/>
              <w:end w:w="130" w:type="dxa"/>
            </w:tcMar>
          </w:tcPr>
          <w:p>
            <w:r>
              <w:rPr>
                <w:rFonts w:ascii="Aptos" w:hAnsi="Aptos"/>
                <w:b/>
                <w:color w:val="202020"/>
                <w:sz w:val="19"/>
              </w:rPr>
              <w:t>Yejiel Nehmad</w:t>
            </w:r>
          </w:p>
        </w:tc>
      </w:tr>
      <w:tr>
        <w:tc>
          <w:tcPr>
            <w:tcW w:type="dxa" w:w="5083"/>
            <w:shd w:fill="EAF2ED"/>
            <w:vAlign w:val="center"/>
            <w:tcMar>
              <w:top w:w="130" w:type="dxa"/>
              <w:start w:w="130" w:type="dxa"/>
              <w:bottom w:w="130" w:type="dxa"/>
              <w:end w:w="130" w:type="dxa"/>
            </w:tcMar>
          </w:tcPr>
          <w:p>
            <w:r>
              <w:rPr>
                <w:rFonts w:ascii="Aptos" w:hAnsi="Aptos"/>
                <w:b/>
                <w:color w:val="245B45"/>
                <w:sz w:val="18"/>
              </w:rPr>
              <w:t>Cliente</w:t>
            </w:r>
          </w:p>
        </w:tc>
        <w:tc>
          <w:tcPr>
            <w:tcW w:type="dxa" w:w="5083"/>
            <w:vAlign w:val="center"/>
            <w:tcMar>
              <w:top w:w="130" w:type="dxa"/>
              <w:start w:w="130" w:type="dxa"/>
              <w:bottom w:w="130" w:type="dxa"/>
              <w:end w:w="130" w:type="dxa"/>
            </w:tcMar>
          </w:tcPr>
          <w:p>
            <w:r>
              <w:rPr>
                <w:rFonts w:ascii="Aptos" w:hAnsi="Aptos"/>
                <w:b/>
                <w:color w:val="202020"/>
                <w:sz w:val="19"/>
              </w:rPr>
              <w:t>Iahadut (Mijael Churba)</w:t>
            </w:r>
          </w:p>
        </w:tc>
      </w:tr>
    </w:tbl>
    <w:p>
      <w:pPr>
        <w:spacing w:before="140" w:after="40" w:line="247" w:lineRule="auto"/>
      </w:pPr>
      <w:r>
        <w:rPr>
          <w:rFonts w:ascii="Aptos" w:hAnsi="Aptos"/>
          <w:b w:val="0"/>
          <w:color w:val="202020"/>
          <w:sz w:val="19"/>
        </w:rPr>
        <w:t>En Buenos Aires, el 4 de septiembre de 2026, las partes dejan por escrito la entrega de la aplicación y el servicio de mantenimiento acordado.</w:t>
      </w:r>
    </w:p>
    <w:p>
      <w:pPr>
        <w:keepNext/>
        <w:spacing w:before="120" w:after="40"/>
      </w:pPr>
      <w:r>
        <w:rPr>
          <w:rFonts w:ascii="Aptos Display" w:hAnsi="Aptos Display"/>
          <w:b/>
          <w:color w:val="000000"/>
          <w:sz w:val="22"/>
        </w:rPr>
        <w:t>1  Entrega</w:t>
      </w:r>
    </w:p>
    <w:p>
      <w:pPr>
        <w:spacing w:after="60" w:line="247" w:lineRule="auto"/>
      </w:pPr>
      <w:r>
        <w:rPr>
          <w:rFonts w:ascii="Aptos" w:hAnsi="Aptos"/>
          <w:b w:val="0"/>
          <w:color w:val="202020"/>
          <w:sz w:val="19"/>
        </w:rPr>
        <w:t>El Prestador entrega al Cliente la aplicación Android Iahadut HaTora Catálogo oficial en su versión actual, junto con el código fuente, el repositorio, los archivos de publicación y el acceso de mantenimiento a Google Play Console, Firebase y Google Cloud. El Cliente conoce y acepta el funcionamiento presentado.</w:t>
      </w:r>
    </w:p>
    <w:p>
      <w:pPr>
        <w:keepNext/>
        <w:spacing w:before="120" w:after="40"/>
      </w:pPr>
      <w:r>
        <w:rPr>
          <w:rFonts w:ascii="Aptos Display" w:hAnsi="Aptos Display"/>
          <w:b/>
          <w:color w:val="000000"/>
          <w:sz w:val="22"/>
        </w:rPr>
        <w:t>2  Propiedad y cuentas</w:t>
      </w:r>
    </w:p>
    <w:p>
      <w:pPr>
        <w:spacing w:after="60" w:line="247" w:lineRule="auto"/>
      </w:pPr>
      <w:r>
        <w:rPr>
          <w:rFonts w:ascii="Aptos" w:hAnsi="Aptos"/>
          <w:b w:val="0"/>
          <w:color w:val="202020"/>
          <w:sz w:val="19"/>
        </w:rPr>
        <w:t>Con el pago total, el desarrollo realizado específicamente para esta aplicación queda para uso y modificación del Cliente. El Prestador conserva sus herramientas, componentes genéricos y conocimientos previos. Las cuentas productivas y sus medios de recuperación quedan bajo control del Cliente; el Prestador mantiene acceso únicamente para realizar el mantenimiento. Las marcas, fotografías, textos y datos del catálogo pertenecen a sus respectivos titulares.</w:t>
      </w:r>
    </w:p>
    <w:p>
      <w:pPr>
        <w:keepNext/>
        <w:spacing w:before="120" w:after="40"/>
      </w:pPr>
      <w:r>
        <w:rPr>
          <w:rFonts w:ascii="Aptos Display" w:hAnsi="Aptos Display"/>
          <w:b/>
          <w:color w:val="000000"/>
          <w:sz w:val="22"/>
        </w:rPr>
        <w:t>3  Mantenimiento</w:t>
      </w:r>
    </w:p>
    <w:p>
      <w:pPr>
        <w:spacing w:after="60" w:line="247" w:lineRule="auto"/>
      </w:pPr>
      <w:r>
        <w:rPr>
          <w:rFonts w:ascii="Aptos" w:hAnsi="Aptos"/>
          <w:b w:val="0"/>
          <w:color w:val="202020"/>
          <w:sz w:val="19"/>
        </w:rPr>
        <w:t>El mantenimiento incluye corrección de errores reproducibles, ajustes técnicos razonables, sincronización del catálogo y preparación de actualizaciones para Google Play. No incluye rediseños, funciones nuevas, carga manual masiva, recuperación de cuentas, migraciones ni problemas provocados por terceros. Cualquier trabajo adicional se acuerda antes de realizarlo.</w:t>
      </w:r>
    </w:p>
    <w:p>
      <w:pPr>
        <w:keepNext/>
        <w:spacing w:before="120" w:after="40"/>
      </w:pPr>
      <w:r>
        <w:rPr>
          <w:rFonts w:ascii="Aptos Display" w:hAnsi="Aptos Display"/>
          <w:b/>
          <w:color w:val="000000"/>
          <w:sz w:val="22"/>
        </w:rPr>
        <w:t>4  Importes y servicios externos</w:t>
      </w:r>
    </w:p>
    <w:p>
      <w:pPr>
        <w:spacing w:after="60" w:line="247" w:lineRule="auto"/>
      </w:pPr>
      <w:r>
        <w:rPr>
          <w:rFonts w:ascii="Aptos" w:hAnsi="Aptos"/>
          <w:b w:val="0"/>
          <w:color w:val="202020"/>
          <w:sz w:val="19"/>
        </w:rPr>
        <w:t>Las partes reconocen como válidos el precio de venta, el abono de mantenimiento y la modalidad de pago que ya acordaron en sus comunicaciones. Los cargos de Google Play, hosting, dominio, Firebase u otros proveedores externos no están incluidos, salvo acuerdo expreso.</w:t>
      </w:r>
    </w:p>
    <w:p>
      <w:pPr>
        <w:keepNext/>
        <w:spacing w:before="120" w:after="40"/>
      </w:pPr>
      <w:r>
        <w:rPr>
          <w:rFonts w:ascii="Aptos Display" w:hAnsi="Aptos Display"/>
          <w:b/>
          <w:color w:val="000000"/>
          <w:sz w:val="22"/>
        </w:rPr>
        <w:t>5  Responsabilidades</w:t>
      </w:r>
    </w:p>
    <w:p>
      <w:pPr>
        <w:spacing w:after="60" w:line="247" w:lineRule="auto"/>
      </w:pPr>
      <w:r>
        <w:rPr>
          <w:rFonts w:ascii="Aptos" w:hAnsi="Aptos"/>
          <w:b w:val="0"/>
          <w:color w:val="202020"/>
          <w:sz w:val="19"/>
        </w:rPr>
        <w:t>El Prestador mantendrá confidenciales los accesos y la información no pública. El Cliente es responsable del contenido que suministra, de contar con autorización para utilizar marcas e imágenes y del cumplimiento de las obligaciones vinculadas con los usuarios y sus datos. La aplicación depende de Google, Firebase, Internet y la fuente externa del catálogo; por eso el Prestador no garantiza la disponibilidad permanente ni los tiempos de revisión de terceros, aunque atenderá los problemas que estén dentro de su alcance.</w:t>
      </w:r>
    </w:p>
    <w:p>
      <w:pPr>
        <w:keepNext/>
        <w:spacing w:before="120" w:after="40"/>
      </w:pPr>
      <w:r>
        <w:rPr>
          <w:rFonts w:ascii="Aptos Display" w:hAnsi="Aptos Display"/>
          <w:b/>
          <w:color w:val="000000"/>
          <w:sz w:val="22"/>
        </w:rPr>
        <w:t>6  Vigencia y conformidad</w:t>
      </w:r>
    </w:p>
    <w:p>
      <w:pPr>
        <w:spacing w:after="60" w:line="247" w:lineRule="auto"/>
      </w:pPr>
      <w:r>
        <w:rPr>
          <w:rFonts w:ascii="Aptos" w:hAnsi="Aptos"/>
          <w:b w:val="0"/>
          <w:color w:val="202020"/>
          <w:sz w:val="19"/>
        </w:rPr>
        <w:t>El mantenimiento continúa mes a mes y cualquiera de las partes puede finalizarlo con treinta días de aviso. El Cliente dispone de cinco días hábiles desde la entrega para informar errores concretos que impidan usar las funciones incluidas. Se aplican las leyes de la República Argentina y, ante una diferencia que no pueda resolverse de buena fe, serán competentes los tribunales ordinarios de la Ciudad Autónoma de Buenos Aires.</w:t>
      </w:r>
    </w:p>
    <w:p>
      <w:pPr>
        <w:keepNext/>
        <w:spacing w:before="140" w:after="80"/>
      </w:pPr>
      <w:r>
        <w:rPr>
          <w:rFonts w:ascii="Aptos Display" w:hAnsi="Aptos Display"/>
          <w:b/>
          <w:color w:val="000000"/>
          <w:sz w:val="22"/>
        </w:rPr>
        <w:t>Conformidad de las partes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68"/>
        <w:gridCol w:w="4968"/>
      </w:tblGrid>
      <w:tr>
        <w:tc>
          <w:tcPr>
            <w:tcW w:type="dxa" w:w="5083"/>
            <w:tcMar>
              <w:top w:w="110" w:type="dxa"/>
              <w:start w:w="110" w:type="dxa"/>
              <w:bottom w:w="110" w:type="dxa"/>
              <w:end w:w="110" w:type="dxa"/>
            </w:tcMar>
          </w:tcPr>
          <w:p>
            <w:pPr>
              <w:jc w:val="center"/>
            </w:pPr>
            <w:r>
              <w:rPr>
                <w:rFonts w:ascii="Aptos" w:hAnsi="Aptos"/>
                <w:b/>
                <w:color w:val="202020"/>
                <w:sz w:val="18"/>
              </w:rPr>
              <w:t>Yejiel Nehmad</w:t>
            </w:r>
          </w:p>
        </w:tc>
        <w:tc>
          <w:tcPr>
            <w:tcW w:type="dxa" w:w="5083"/>
            <w:tcMar>
              <w:top w:w="110" w:type="dxa"/>
              <w:start w:w="110" w:type="dxa"/>
              <w:bottom w:w="110" w:type="dxa"/>
              <w:end w:w="110" w:type="dxa"/>
            </w:tcMar>
          </w:tcPr>
          <w:p>
            <w:pPr>
              <w:jc w:val="center"/>
            </w:pPr>
            <w:r>
              <w:rPr>
                <w:rFonts w:ascii="Aptos" w:hAnsi="Aptos"/>
                <w:b/>
                <w:color w:val="202020"/>
                <w:sz w:val="18"/>
              </w:rPr>
              <w:t>Iahadut (Mijael Churba)</w:t>
            </w:r>
          </w:p>
        </w:tc>
      </w:tr>
      <w:tr>
        <w:tc>
          <w:tcPr>
            <w:tcW w:type="dxa" w:w="5083"/>
            <w:tcMar>
              <w:top w:w="150" w:type="dxa"/>
              <w:start w:w="150" w:type="dxa"/>
              <w:bottom w:w="150" w:type="dxa"/>
              <w:end w:w="150" w:type="dxa"/>
            </w:tcMar>
            <w:shd w:fill="F4F7F5"/>
          </w:tcPr>
          <w:p>
            <w:pPr>
              <w:jc w:val="center"/>
            </w:pPr>
            <w:r>
              <w:rPr>
                <w:rFonts w:ascii="Aptos" w:hAnsi="Aptos"/>
                <w:b w:val="0"/>
                <w:color w:val="202020"/>
                <w:sz w:val="18"/>
              </w:rPr>
              <w:t>Firma del Prestador</w:t>
            </w:r>
          </w:p>
        </w:tc>
        <w:tc>
          <w:tcPr>
            <w:tcW w:type="dxa" w:w="5083"/>
            <w:tcMar>
              <w:top w:w="150" w:type="dxa"/>
              <w:start w:w="150" w:type="dxa"/>
              <w:bottom w:w="150" w:type="dxa"/>
              <w:end w:w="150" w:type="dxa"/>
            </w:tcMar>
            <w:shd w:fill="F4F7F5"/>
          </w:tcPr>
          <w:p>
            <w:pPr>
              <w:jc w:val="center"/>
            </w:pPr>
            <w:r>
              <w:rPr>
                <w:rFonts w:ascii="Aptos" w:hAnsi="Aptos"/>
                <w:b w:val="0"/>
                <w:color w:val="202020"/>
                <w:sz w:val="18"/>
              </w:rPr>
              <w:t>Firma del Cliente</w:t>
            </w:r>
          </w:p>
        </w:tc>
      </w:tr>
    </w:tbl>
    <w:p>
      <w:pPr>
        <w:spacing w:before="100" w:after="0"/>
        <w:jc w:val="center"/>
      </w:pPr>
      <w:r>
        <w:rPr>
          <w:rFonts w:ascii="Aptos" w:hAnsi="Aptos"/>
          <w:b w:val="0"/>
          <w:color w:val="666666"/>
          <w:sz w:val="16"/>
        </w:rPr>
        <w:t>Este documento resume el acuerdo entre las partes. Puede firmarse en papel o digitalmente.</w:t>
      </w:r>
    </w:p>
    <w:sectPr w:rsidR="00FC693F" w:rsidRPr="0006063C" w:rsidSect="00034616">
      <w:footerReference w:type="default" r:id="rId9"/>
      <w:pgSz w:w="12240" w:h="15840"/>
      <w:pgMar w:top="792"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77777"/>
        <w:sz w:val="16"/>
      </w:rPr>
      <w:t>Acuerdo Iahadut HaTora  ·  4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