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sz w:val="12"/>
          <w:szCs w:val="12"/>
        </w:rPr>
      </w:pPr>
      <w:r>
        <w:rPr>
          <w:rFonts w:cs="Calibri" w:cstheme="minorHAnsi" w:ascii="Calibri" w:hAnsi="Calibri"/>
          <w:b/>
          <w:sz w:val="12"/>
          <w:szCs w:val="12"/>
        </w:rPr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</w:rPr>
      </w:pPr>
      <w:r>
        <w:rPr>
          <w:rFonts w:cs="Calibri" w:ascii="Calibri" w:hAnsi="Calibri" w:cstheme="minorHAnsi"/>
          <w:b/>
        </w:rPr>
        <w:t>PROFESSIONAL PROFILE</w:t>
        <w:softHyphen/>
        <w:softHyphen/>
        <w:softHyphen/>
        <w:softHyphen/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Cs/>
          <w:sz w:val="22"/>
          <w:szCs w:val="22"/>
        </w:rPr>
      </w:pPr>
      <w:r>
        <w:rPr>
          <w:rFonts w:cs="Calibri" w:ascii="Calibri" w:hAnsi="Calibri" w:cstheme="minorHAnsi"/>
          <w:bCs/>
          <w:sz w:val="22"/>
          <w:szCs w:val="22"/>
        </w:rPr>
        <w:t xml:space="preserve">Proactive IT Security Engineer with 7+ years of experience in Corporate IT Security, Identity &amp; Access Management, Cloud Security, and Security Operations across enterprise and SaaS environments. Experienced in standardizing IT security request processes, automating workflows, and strengthening access governance using IAM frameworks, Azure AD/ </w:t>
      </w:r>
      <w:r>
        <w:rPr>
          <w:rFonts w:cs="Calibri" w:ascii="Calibri" w:hAnsi="Calibri" w:cstheme="minorHAnsi"/>
          <w:bCs/>
          <w:sz w:val="22"/>
          <w:szCs w:val="22"/>
        </w:rPr>
        <w:t>Entra ID</w:t>
      </w:r>
      <w:r>
        <w:rPr>
          <w:rFonts w:cs="Calibri" w:ascii="Calibri" w:hAnsi="Calibri" w:cstheme="minorHAnsi"/>
          <w:bCs/>
          <w:sz w:val="22"/>
          <w:szCs w:val="22"/>
        </w:rPr>
        <w:t>, RBAC, and Okta. Skilled in securing AWS/Azure environments and enabling safe AI adoption through access control, governance, and risk management. Proven ability to support incident response and on-call security operations in fast-paced, 24/7 enterprise settings. to ensure secure, stable, and compliant systems</w:t>
      </w:r>
    </w:p>
    <w:p>
      <w:pPr>
        <w:pStyle w:val="Normal"/>
        <w:spacing w:before="0" w:after="0"/>
        <w:jc w:val="center"/>
        <w:rPr>
          <w:rFonts w:eastAsia="Times New Roman" w:cs="Calibri" w:cstheme="minorHAnsi"/>
          <w:b/>
          <w:sz w:val="12"/>
          <w:szCs w:val="12"/>
        </w:rPr>
      </w:pPr>
      <w:r>
        <w:rPr>
          <w:rFonts w:eastAsia="Times New Roman" w:cs="Calibri" w:cstheme="minorHAnsi"/>
          <w:b/>
          <w:sz w:val="12"/>
          <w:szCs w:val="12"/>
        </w:rPr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/>
          <w:sz w:val="24"/>
          <w:szCs w:val="24"/>
        </w:rPr>
      </w:pPr>
      <w:r>
        <w:rPr>
          <w:rFonts w:eastAsia="Times New Roman" w:cs="Calibri" w:cstheme="minorHAnsi"/>
          <w:b/>
          <w:sz w:val="24"/>
          <w:szCs w:val="24"/>
        </w:rPr>
        <w:t>CORE COMPETENCIES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Corporate IT Security Operations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Identity &amp; Access Management (IAM) - Azure AD /Entra ID, RBAC, Okta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 xml:space="preserve">AI Security &amp; Governance </w:t>
      </w:r>
      <w:r>
        <w:rPr>
          <w:rFonts w:cs="Calibri" w:ascii="Calibri" w:hAnsi="Calibri" w:cstheme="minorHAnsi"/>
          <w:b w:val="false"/>
          <w:bCs w:val="false"/>
          <w:color w:val="auto"/>
          <w:sz w:val="22"/>
          <w:szCs w:val="22"/>
          <w:lang w:eastAsia="en-US" w:bidi="ar-SA"/>
        </w:rPr>
        <w:t>-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 Secure AI adoption, access control, data protection, risk management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 xml:space="preserve">Cloud Security </w:t>
      </w:r>
      <w:r>
        <w:rPr>
          <w:rFonts w:cs="Calibri" w:ascii="Calibri" w:hAnsi="Calibri" w:cstheme="minorHAnsi"/>
          <w:b w:val="false"/>
          <w:bCs w:val="false"/>
          <w:color w:val="auto"/>
          <w:sz w:val="22"/>
          <w:szCs w:val="22"/>
          <w:lang w:eastAsia="en-US" w:bidi="ar-SA"/>
        </w:rPr>
        <w:t>-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 AWS, Azure (IAM, monitoring, access control, security baselines)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 xml:space="preserve">Security Automation </w:t>
      </w:r>
      <w:r>
        <w:rPr>
          <w:rFonts w:cs="Calibri" w:ascii="Calibri" w:hAnsi="Calibri" w:cs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- 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Workflow standardization, IT request approval automation, scripting (PowerShell, Python, Bash)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>Incident Response &amp; On-call Support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 - escalation handling, triage, containment, remediation, 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>reporting, analytics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 xml:space="preserve">Vulnerability &amp; Risk Management </w:t>
      </w:r>
      <w:r>
        <w:rPr>
          <w:rFonts w:cs="Calibri" w:ascii="Calibri" w:hAnsi="Calibri" w:cs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- 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assessment, prioritization, remediation, tracking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>Security Operations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 - SIEM, logging, monitoring, threat detection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color w:val="auto"/>
          <w:sz w:val="22"/>
          <w:szCs w:val="22"/>
          <w:lang w:eastAsia="en-US" w:bidi="ar-SA"/>
        </w:rPr>
      </w:pPr>
      <w:r>
        <w:rPr>
          <w:rFonts w:cs="Calibri" w:ascii="Calibri" w:hAnsi="Calibri" w:cstheme="minorHAnsi"/>
          <w:b/>
          <w:bCs/>
          <w:color w:val="auto"/>
          <w:sz w:val="22"/>
          <w:szCs w:val="22"/>
          <w:lang w:eastAsia="en-US" w:bidi="ar-SA"/>
        </w:rPr>
        <w:t xml:space="preserve">Compliance </w:t>
      </w:r>
      <w:r>
        <w:rPr>
          <w:rFonts w:cs="Calibri" w:ascii="Calibri" w:hAnsi="Calibri" w:cs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- </w:t>
      </w:r>
      <w:r>
        <w:rPr>
          <w:rFonts w:cs="Calibri" w:ascii="Calibri" w:hAnsi="Calibri" w:cstheme="minorHAnsi"/>
          <w:color w:val="auto"/>
          <w:sz w:val="22"/>
          <w:szCs w:val="22"/>
          <w:lang w:eastAsia="en-US" w:bidi="ar-SA"/>
        </w:rPr>
        <w:t xml:space="preserve">NIST, SOC, GDPR, PCI DSS, SOX </w:t>
      </w:r>
    </w:p>
    <w:p>
      <w:pPr>
        <w:pStyle w:val="NormalWeb"/>
        <w:widowControl/>
        <w:numPr>
          <w:ilvl w:val="0"/>
          <w:numId w:val="1"/>
        </w:numPr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Style w:val="Strong"/>
          <w:rFonts w:cs="Calibri" w:ascii="Calibri" w:hAnsi="Calibri" w:asciiTheme="minorHAnsi" w:cstheme="minorHAnsi" w:hAnsiTheme="minorHAnsi"/>
          <w:sz w:val="22"/>
          <w:szCs w:val="22"/>
        </w:rPr>
        <w:t>Education &amp; Certification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: Master of Computer Application, Diploma in Mobile System Integration, SSCP certified, Azure 900 certified, ACE multi cloud network associate certified, pursing CISSP</w:t>
      </w:r>
    </w:p>
    <w:p>
      <w:pPr>
        <w:pStyle w:val="NormalWeb"/>
        <w:numPr>
          <w:ilvl w:val="0"/>
          <w:numId w:val="0"/>
        </w:numPr>
        <w:spacing w:before="0" w:after="0"/>
        <w:ind w:hanging="0" w:start="360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TECHNOLOGICAL SKILLS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Identity &amp; Access: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 AD/Entra ID, RBAC, IAM frameworks, CyberArk, Okta 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(SSO/MFA), CyberArk(PAM), SailPoint(IGA)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AI Security: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 Secure AI usage governance, access control policies for AI tools, enterprise AI risk mitigation, data protection for AI workflows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Cloud Platforms: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 AWS, Azure, VMware, Docker, 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Cloud IAM, Cloud Security Posture Management(CSPM)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Security &amp; Monitoring: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 SIEM platforms, endpoint protection suites, centralized logging systems, DarkTrace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Automation &amp; Scripting: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 PowerShell, Python, Bash, Terraform, Ansible </w:t>
      </w:r>
    </w:p>
    <w:p>
      <w:pPr>
        <w:pStyle w:val="NormalWeb"/>
        <w:widowControl/>
        <w:numPr>
          <w:ilvl w:val="0"/>
          <w:numId w:val="1"/>
        </w:numPr>
        <w:suppressAutoHyphens w:val="true"/>
        <w:bidi w:val="0"/>
        <w:spacing w:before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Networking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: TCP/IP, HTTP, SMTP, VPN 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(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Ipsec/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 xml:space="preserve">SSL), </w:t>
      </w:r>
      <w:r>
        <w:rPr>
          <w:rFonts w:cs="Calibri" w:ascii="Calibri" w:hAnsi="Calibri" w:asciiTheme="minorHAnsi" w:cstheme="minorHAnsi" w:hAnsiTheme="minorHAnsi"/>
          <w:color w:val="auto"/>
          <w:sz w:val="22"/>
          <w:szCs w:val="22"/>
          <w:lang w:eastAsia="en-US" w:bidi="ar-SA"/>
        </w:rPr>
        <w:t>DNS/DHCP, Firewalls, Cisco Routers/Switches</w:t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sz w:val="12"/>
          <w:szCs w:val="22"/>
        </w:rPr>
      </w:pPr>
      <w:r>
        <w:rPr>
          <w:rFonts w:cs="Calibri" w:cstheme="minorHAnsi" w:ascii="Calibri" w:hAnsi="Calibri"/>
          <w:sz w:val="12"/>
          <w:szCs w:val="22"/>
        </w:rPr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PROFESSIONAL EXPERIENCES</w:t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IT Security Engineer/ Developer (Contract) | Takeo | Toronto | ON | Jun 2021 - Aug 2025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Conducated Corporate IT security operations across enterprise environments, ensuring secure access control, endpoint protection, and compliance adherence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Led enterprise vulnerability management lifecycle, including risk identification, prioritization, and remediation coordination across systems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Contributed to standardization and automation of IT security request approvals, reducing manual processing through scripted workflows and process optimization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Implemented and enforced identity and access governance policies using Entra ID /RBAC, ensuring least-privilege access across enterprise systems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Supported secure AI adoption initiatives by applying access control frameworks, governance policies, and data protection principles for AI-enabled tools and internal automation systems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Assisted in defining secure usage guidelines for emerging AI technologies, ensuring controlled access, logging, and compliance alignment within corporate IT environments </w:t>
      </w:r>
    </w:p>
    <w:p>
      <w:pPr>
        <w:pStyle w:val="NormalWeb"/>
        <w:widowControl/>
        <w:numPr>
          <w:ilvl w:val="0"/>
          <w:numId w:val="0"/>
        </w:numPr>
        <w:suppressAutoHyphens w:val="true"/>
        <w:bidi w:val="0"/>
        <w:spacing w:beforeAutospacing="0" w:before="0" w:afterAutospacing="0" w:after="0"/>
        <w:ind w:hanging="0" w:start="360"/>
        <w:jc w:val="start"/>
        <w:rPr>
          <w:rStyle w:val="Strong"/>
          <w:rFonts w:ascii="Calibri" w:hAnsi="Calibri" w:cs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</w:pPr>
      <w:r>
        <w:rPr>
          <w:rFonts w:cs="Calibri" w:cstheme="minorHAnsi" w:ascii="Calibri" w:hAnsi="Calibri"/>
          <w:b w:val="false"/>
          <w:bCs w:val="false"/>
          <w:color w:val="auto"/>
          <w:sz w:val="22"/>
          <w:szCs w:val="22"/>
          <w:lang w:eastAsia="en-US" w:bidi="ar-SA"/>
        </w:rPr>
      </w:r>
    </w:p>
    <w:p>
      <w:pPr>
        <w:pStyle w:val="NormalWeb"/>
        <w:widowControl/>
        <w:numPr>
          <w:ilvl w:val="0"/>
          <w:numId w:val="0"/>
        </w:numPr>
        <w:suppressAutoHyphens w:val="true"/>
        <w:bidi w:val="0"/>
        <w:spacing w:beforeAutospacing="0" w:before="0" w:afterAutospacing="0" w:after="0"/>
        <w:ind w:hanging="0" w:start="360"/>
        <w:jc w:val="start"/>
        <w:rPr>
          <w:rStyle w:val="Strong"/>
          <w:rFonts w:ascii="Calibri" w:hAnsi="Calibri" w:cs="Calibri" w:asciiTheme="minorHAnsi" w:cstheme="minorHAnsi" w:hAnsiTheme="minorHAnsi"/>
          <w:b w:val="false"/>
          <w:bCs w:val="false"/>
          <w:color w:val="auto"/>
          <w:sz w:val="12"/>
          <w:szCs w:val="12"/>
          <w:lang w:eastAsia="en-US" w:bidi="ar-SA"/>
        </w:rPr>
      </w:pPr>
      <w:r>
        <w:rPr>
          <w:rFonts w:cs="Calibri" w:cstheme="minorHAnsi" w:ascii="Calibri" w:hAnsi="Calibri"/>
          <w:b w:val="false"/>
          <w:bCs w:val="false"/>
          <w:color w:val="auto"/>
          <w:sz w:val="12"/>
          <w:szCs w:val="12"/>
          <w:lang w:eastAsia="en-US" w:bidi="ar-SA"/>
        </w:rPr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Actively participated in on-call security operations, supporting after-hours incident response, escalation handling, and remediation of critical security events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Supported centralized security monitoring and logging integration to improve detection and response capabilities across enterprise systems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Collaborated with cross-functional teams to improve IT security workflow efficiency, access request handling, and operational consistency </w:t>
      </w:r>
    </w:p>
    <w:p>
      <w:pPr>
        <w:pStyle w:val="NormalWeb"/>
        <w:widowControl/>
        <w:numPr>
          <w:ilvl w:val="0"/>
          <w:numId w:val="0"/>
        </w:numPr>
        <w:bidi w:val="0"/>
        <w:spacing w:beforeAutospacing="0" w:before="0" w:afterAutospacing="0" w:after="0"/>
        <w:ind w:hanging="0" w:start="360"/>
        <w:jc w:val="start"/>
        <w:rPr>
          <w:rStyle w:val="Strong"/>
          <w:rFonts w:ascii="Calibri" w:hAnsi="Calibri" w:cs="Calibri" w:asciiTheme="minorHAnsi" w:cstheme="minorHAnsi" w:hAnsiTheme="minorHAnsi"/>
          <w:b w:val="false"/>
          <w:bCs w:val="false"/>
          <w:sz w:val="12"/>
          <w:szCs w:val="12"/>
        </w:rPr>
      </w:pPr>
      <w:r>
        <w:rPr>
          <w:rFonts w:cs="Calibri" w:cstheme="minorHAnsi" w:ascii="Calibri" w:hAnsi="Calibri"/>
          <w:b w:val="false"/>
          <w:bCs w:val="false"/>
          <w:sz w:val="12"/>
          <w:szCs w:val="12"/>
        </w:rPr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Information Security Analyst (Contract) | Millennium1Solutions | Etobicoke | ON | Jun 2019 - Jun 2021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Supported Corporate IT security operations including vulnerability management, identity governance, and endpoint security controls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Engaged in enforcing IAM policies and privileged access management controls, ensuring secure system access across enterprise infrastructure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Contributed to standardization of IT security request processes and access approval workflows, improving operational efficiency and reducing manual intervention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Worked in a SaaS-like operational environment with continuous monitoring and incident response requirements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Supported security incident investigation, log analysis, and remediation coordination for enterprise systems </w:t>
      </w:r>
    </w:p>
    <w:p>
      <w:pPr>
        <w:pStyle w:val="NormalWeb"/>
        <w:widowControl/>
        <w:numPr>
          <w:ilvl w:val="0"/>
          <w:numId w:val="2"/>
        </w:numPr>
        <w:suppressAutoHyphens w:val="true"/>
        <w:bidi w:val="0"/>
        <w:spacing w:beforeAutospacing="0" w:before="0" w:afterAutospacing="0" w:after="0"/>
        <w:jc w:val="start"/>
        <w:rPr/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auto"/>
          <w:sz w:val="22"/>
          <w:szCs w:val="22"/>
          <w:lang w:eastAsia="en-US" w:bidi="ar-SA"/>
        </w:rPr>
        <w:t xml:space="preserve">Assisted in secure system configuration and compliance enforcement aligned with enterprise security standards </w:t>
      </w:r>
    </w:p>
    <w:p>
      <w:pPr>
        <w:pStyle w:val="BodyText"/>
        <w:spacing w:beforeAutospacing="0" w:before="0" w:afterAutospacing="0" w:after="0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/>
          <w:sz w:val="12"/>
          <w:szCs w:val="12"/>
        </w:rPr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Desktop/ Network Support (Contract) | Flamboro Downs | Dundas | ON | Apr 2018 - May 2018</w:t>
      </w:r>
    </w:p>
    <w:p>
      <w:pPr>
        <w:pStyle w:val="NormalWeb"/>
        <w:widowControl/>
        <w:numPr>
          <w:ilvl w:val="0"/>
          <w:numId w:val="3"/>
        </w:numPr>
        <w:bidi w:val="0"/>
        <w:spacing w:before="0" w:after="0"/>
        <w:ind w:hanging="0" w:start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 xml:space="preserve">Supported Windows endpoint deployment and configuration including installation of security agents and enterprise  </w:t>
      </w:r>
    </w:p>
    <w:p>
      <w:pPr>
        <w:pStyle w:val="NormalWeb"/>
        <w:widowControl/>
        <w:numPr>
          <w:ilvl w:val="0"/>
          <w:numId w:val="0"/>
        </w:numPr>
        <w:bidi w:val="0"/>
        <w:spacing w:before="0" w:after="0"/>
        <w:ind w:hanging="0" w:start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 xml:space="preserve">       </w:t>
      </w:r>
      <w:r>
        <w:rPr>
          <w:rFonts w:cs="Calibri" w:ascii="Calibri" w:hAnsi="Calibri" w:cstheme="minorHAnsi"/>
          <w:sz w:val="22"/>
          <w:szCs w:val="22"/>
        </w:rPr>
        <w:t xml:space="preserve">applications </w:t>
      </w:r>
    </w:p>
    <w:p>
      <w:pPr>
        <w:pStyle w:val="NormalWeb"/>
        <w:widowControl/>
        <w:numPr>
          <w:ilvl w:val="0"/>
          <w:numId w:val="3"/>
        </w:numPr>
        <w:bidi w:val="0"/>
        <w:spacing w:before="0" w:after="0"/>
        <w:ind w:hanging="0" w:start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>Performed system updates, patch installation, and OS imaging to maintain secure and standardized endpoint</w:t>
      </w:r>
    </w:p>
    <w:p>
      <w:pPr>
        <w:pStyle w:val="NormalWeb"/>
        <w:widowControl/>
        <w:numPr>
          <w:ilvl w:val="0"/>
          <w:numId w:val="0"/>
        </w:numPr>
        <w:bidi w:val="0"/>
        <w:spacing w:before="0" w:after="0"/>
        <w:ind w:hanging="0" w:start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 xml:space="preserve">       </w:t>
      </w:r>
      <w:r>
        <w:rPr>
          <w:rFonts w:cs="Calibri" w:ascii="Calibri" w:hAnsi="Calibri" w:cstheme="minorHAnsi"/>
          <w:sz w:val="22"/>
          <w:szCs w:val="22"/>
        </w:rPr>
        <w:t>environments</w:t>
      </w:r>
    </w:p>
    <w:p>
      <w:pPr>
        <w:pStyle w:val="NormalWeb"/>
        <w:spacing w:before="0" w:after="0"/>
        <w:ind w:hanging="0" w:start="0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NormalWeb"/>
        <w:spacing w:beforeAutospacing="0" w:before="0" w:afterAutospacing="0" w:after="0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cstheme="minorHAnsi"/>
          <w:b/>
          <w:bCs/>
        </w:rPr>
        <w:t>IT Support (Contract) | Friends of the Greenbelt | Toronto| ON | Mar 2017 - Mar 2018</w:t>
      </w:r>
    </w:p>
    <w:p>
      <w:pPr>
        <w:pStyle w:val="NormalWeb"/>
        <w:widowControl/>
        <w:numPr>
          <w:ilvl w:val="0"/>
          <w:numId w:val="4"/>
        </w:numPr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>Performed patch management and OS and application upgrades/updates across Windows and Linux endpoints to remediate vulnerabilities and maintain security compliance</w:t>
      </w:r>
    </w:p>
    <w:p>
      <w:pPr>
        <w:pStyle w:val="NormalWeb"/>
        <w:widowControl/>
        <w:numPr>
          <w:ilvl w:val="0"/>
          <w:numId w:val="4"/>
        </w:numPr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>Supported firewall configuration, VPN, DNS, DHCP, and Active Directory to ensure secure and reliable network access with least-privilege controls</w:t>
      </w:r>
    </w:p>
    <w:p>
      <w:pPr>
        <w:pStyle w:val="NormalWeb"/>
        <w:widowControl/>
        <w:numPr>
          <w:ilvl w:val="0"/>
          <w:numId w:val="4"/>
        </w:numPr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 xml:space="preserve">Resolved Tier 2/3 endpoint issues across OS, applications, and security tools while minimizing operational downtime </w:t>
      </w:r>
    </w:p>
    <w:p>
      <w:pPr>
        <w:pStyle w:val="NormalWeb"/>
        <w:widowControl/>
        <w:numPr>
          <w:ilvl w:val="0"/>
          <w:numId w:val="4"/>
        </w:numPr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>Assisted in incident response by analyzing logs, identifying root causes, and supporting remediation with security and infrastructure teams</w:t>
      </w:r>
    </w:p>
    <w:p>
      <w:pPr>
        <w:pStyle w:val="NormalWeb"/>
        <w:widowControl/>
        <w:numPr>
          <w:ilvl w:val="0"/>
          <w:numId w:val="4"/>
        </w:numPr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cstheme="minorHAnsi"/>
          <w:sz w:val="22"/>
          <w:szCs w:val="22"/>
        </w:rPr>
        <w:t>Contributed to disaster recovery by supporting backups, system recovery testing, and endpoint restoration for business continuity</w:t>
      </w:r>
    </w:p>
    <w:p>
      <w:pPr>
        <w:pStyle w:val="NormalWeb"/>
        <w:widowControl/>
        <w:numPr>
          <w:ilvl w:val="0"/>
          <w:numId w:val="0"/>
        </w:numPr>
        <w:bidi w:val="0"/>
        <w:spacing w:before="0" w:after="0"/>
        <w:ind w:hanging="0" w:start="360"/>
        <w:jc w:val="start"/>
        <w:rPr>
          <w:rFonts w:ascii="Calibri" w:hAnsi="Calibri" w:cs="Calibri" w:asciiTheme="minorHAnsi" w:cstheme="minorHAnsi" w:hAnsiTheme="minorHAnsi"/>
          <w:sz w:val="12"/>
          <w:szCs w:val="12"/>
        </w:rPr>
      </w:pPr>
      <w:r>
        <w:rPr>
          <w:rFonts w:cs="Calibri" w:cstheme="minorHAnsi" w:ascii="Calibri" w:hAnsi="Calibri"/>
          <w:sz w:val="12"/>
          <w:szCs w:val="12"/>
        </w:rPr>
      </w:r>
    </w:p>
    <w:p>
      <w:pPr>
        <w:pStyle w:val="NormalWeb"/>
        <w:widowControl/>
        <w:bidi w:val="0"/>
        <w:spacing w:before="0" w:after="0"/>
        <w:jc w:val="start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cstheme="minorHAnsi"/>
          <w:b/>
          <w:bCs/>
        </w:rPr>
        <w:t>EDUCATION</w:t>
      </w:r>
    </w:p>
    <w:p>
      <w:pPr>
        <w:pStyle w:val="Normal"/>
        <w:spacing w:before="0" w:after="0"/>
        <w:jc w:val="both"/>
        <w:rPr>
          <w:rFonts w:eastAsia="Times New Roman" w:cs="Calibri" w:cstheme="minorHAnsi"/>
          <w:color w:themeColor="text1" w:val="000000"/>
          <w:spacing w:val="10"/>
        </w:rPr>
      </w:pPr>
      <w:r>
        <w:rPr>
          <w:rFonts w:eastAsia="Times New Roman" w:cs="Calibri" w:cstheme="minorHAnsi"/>
          <w:color w:val="000000"/>
        </w:rPr>
        <w:t>Career Connection Co-op Program</w:t>
        <w:tab/>
        <w:t>City Adult Learning Center (TDSB), Toronto</w:t>
        <w:tab/>
        <w:t>2019</w:t>
      </w:r>
    </w:p>
    <w:p>
      <w:pPr>
        <w:pStyle w:val="Normal"/>
        <w:spacing w:before="0" w:after="0"/>
        <w:jc w:val="both"/>
        <w:rPr>
          <w:rFonts w:eastAsia="Times New Roman" w:cs="Calibri" w:cstheme="minorHAnsi"/>
          <w:color w:val="000000"/>
        </w:rPr>
      </w:pPr>
      <w:r>
        <w:rPr>
          <w:rFonts w:eastAsia="Times New Roman" w:cs="Calibri" w:cstheme="minorHAnsi"/>
          <w:color w:val="000000"/>
        </w:rPr>
        <w:t>VMware Foundation Course (online)</w:t>
        <w:tab/>
        <w:t>Stanly Community College, NC, USA</w:t>
        <w:tab/>
        <w:tab/>
        <w:t>2016</w:t>
      </w:r>
    </w:p>
    <w:p>
      <w:pPr>
        <w:pStyle w:val="Normal"/>
        <w:spacing w:before="0" w:after="0"/>
        <w:jc w:val="both"/>
        <w:rPr>
          <w:rFonts w:eastAsia="Times New Roman" w:cs="Calibri" w:cstheme="minorHAnsi"/>
          <w:color w:val="000000"/>
        </w:rPr>
      </w:pPr>
      <w:r>
        <w:rPr>
          <w:rFonts w:eastAsia="Times New Roman" w:cs="Calibri" w:cstheme="minorHAnsi"/>
          <w:color w:val="000000"/>
        </w:rPr>
        <w:t>Mobile Systems Integration (MSI)</w:t>
        <w:tab/>
        <w:t>Humber College, Toronto, ON</w:t>
        <w:tab/>
        <w:tab/>
        <w:tab/>
        <w:t>2016</w:t>
      </w:r>
    </w:p>
    <w:p>
      <w:pPr>
        <w:pStyle w:val="Normal"/>
        <w:spacing w:before="0" w:after="0"/>
        <w:jc w:val="both"/>
        <w:rPr>
          <w:rFonts w:eastAsia="Times New Roman" w:cs="Calibri" w:cstheme="minorHAnsi"/>
          <w:color w:val="000000"/>
        </w:rPr>
      </w:pPr>
      <w:r>
        <w:rPr>
          <w:rFonts w:eastAsia="Times New Roman" w:cs="Calibri" w:cstheme="minorHAnsi"/>
          <w:color w:val="000000"/>
        </w:rPr>
        <w:t xml:space="preserve">Masters in Computer Science </w:t>
        <w:tab/>
        <w:t xml:space="preserve">              Kantipur City College, Nepal</w:t>
        <w:tab/>
        <w:tab/>
        <w:t xml:space="preserve">              2013</w:t>
      </w:r>
    </w:p>
    <w:p>
      <w:pPr>
        <w:pStyle w:val="Normal"/>
        <w:spacing w:before="0" w:after="160"/>
        <w:rPr>
          <w:rFonts w:eastAsia="Times New Roman" w:cs="Calibri" w:cstheme="minorHAnsi"/>
          <w:color w:val="000000"/>
        </w:rPr>
      </w:pPr>
      <w:r>
        <w:rPr>
          <w:rFonts w:eastAsia="Times New Roman" w:cs="Calibri" w:cstheme="minorHAnsi"/>
          <w:color w:val="00000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2304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themeColor="accent1" w:val="4472C4"/>
      </w:rPr>
    </w:pPr>
    <w:r>
      <w:rPr>
        <w:color w:themeColor="accent1" w:val="4472C4"/>
      </w:rPr>
      <w:t xml:space="preserve">Page </w:t>
    </w:r>
    <w:r>
      <w:rPr>
        <w:color w:themeColor="accent1" w:val="4472C4"/>
      </w:rPr>
      <w:fldChar w:fldCharType="begin"/>
    </w:r>
    <w:r>
      <w:rPr>
        <w:color w:themeColor="accent1" w:val="4472C4"/>
      </w:rPr>
      <w:instrText xml:space="preserve"> PAGE </w:instrText>
    </w:r>
    <w:r>
      <w:rPr>
        <w:color w:themeColor="accent1" w:val="4472C4"/>
      </w:rPr>
      <w:fldChar w:fldCharType="separate"/>
    </w:r>
    <w:r>
      <w:rPr>
        <w:color w:themeColor="accent1" w:val="4472C4"/>
      </w:rPr>
      <w:t>2</w:t>
    </w:r>
    <w:r>
      <w:rPr>
        <w:color w:themeColor="accent1" w:val="4472C4"/>
      </w:rPr>
      <w:fldChar w:fldCharType="end"/>
    </w:r>
    <w:r>
      <w:rPr>
        <w:color w:themeColor="accent1" w:val="4472C4"/>
      </w:rPr>
      <w:t xml:space="preserve"> of </w:t>
    </w:r>
    <w:r>
      <w:rPr>
        <w:color w:themeColor="accent1" w:val="4472C4"/>
      </w:rPr>
      <w:fldChar w:fldCharType="begin"/>
    </w:r>
    <w:r>
      <w:rPr>
        <w:color w:themeColor="accent1" w:val="4472C4"/>
      </w:rPr>
      <w:instrText xml:space="preserve"> NUMPAGES </w:instrText>
    </w:r>
    <w:r>
      <w:rPr>
        <w:color w:themeColor="accent1" w:val="4472C4"/>
      </w:rPr>
      <w:fldChar w:fldCharType="separate"/>
    </w:r>
    <w:r>
      <w:rPr>
        <w:color w:themeColor="accent1" w:val="4472C4"/>
      </w:rPr>
      <w:t>2</w:t>
    </w:r>
    <w:r>
      <w:rPr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themeColor="accent1" w:val="4472C4"/>
      </w:rPr>
    </w:pPr>
    <w:r>
      <w:rPr>
        <w:color w:themeColor="accent1" w:val="4472C4"/>
      </w:rPr>
      <w:t xml:space="preserve">Page </w:t>
    </w:r>
    <w:r>
      <w:rPr>
        <w:color w:themeColor="accent1" w:val="4472C4"/>
      </w:rPr>
      <w:fldChar w:fldCharType="begin"/>
    </w:r>
    <w:r>
      <w:rPr>
        <w:color w:themeColor="accent1" w:val="4472C4"/>
      </w:rPr>
      <w:instrText xml:space="preserve"> PAGE </w:instrText>
    </w:r>
    <w:r>
      <w:rPr>
        <w:color w:themeColor="accent1" w:val="4472C4"/>
      </w:rPr>
      <w:fldChar w:fldCharType="separate"/>
    </w:r>
    <w:r>
      <w:rPr>
        <w:color w:themeColor="accent1" w:val="4472C4"/>
      </w:rPr>
      <w:t>2</w:t>
    </w:r>
    <w:r>
      <w:rPr>
        <w:color w:themeColor="accent1" w:val="4472C4"/>
      </w:rPr>
      <w:fldChar w:fldCharType="end"/>
    </w:r>
    <w:r>
      <w:rPr>
        <w:color w:themeColor="accent1" w:val="4472C4"/>
      </w:rPr>
      <w:t xml:space="preserve"> of </w:t>
    </w:r>
    <w:r>
      <w:rPr>
        <w:color w:themeColor="accent1" w:val="4472C4"/>
      </w:rPr>
      <w:fldChar w:fldCharType="begin"/>
    </w:r>
    <w:r>
      <w:rPr>
        <w:color w:themeColor="accent1" w:val="4472C4"/>
      </w:rPr>
      <w:instrText xml:space="preserve"> NUMPAGES </w:instrText>
    </w:r>
    <w:r>
      <w:rPr>
        <w:color w:themeColor="accent1" w:val="4472C4"/>
      </w:rPr>
      <w:fldChar w:fldCharType="separate"/>
    </w:r>
    <w:r>
      <w:rPr>
        <w:color w:themeColor="accent1" w:val="4472C4"/>
      </w:rPr>
      <w:t>2</w:t>
    </w:r>
    <w:r>
      <w:rPr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>
        <w:rFonts w:eastAsia="Times New Roman" w:cs="Calibri" w:cstheme="minorHAnsi"/>
        <w:b/>
        <w:sz w:val="48"/>
        <w:szCs w:val="48"/>
        <w:vertAlign w:val="subscript"/>
      </w:rPr>
      <w:t>Rajan Gauchan</w:t>
    </w:r>
  </w:p>
  <w:p>
    <w:pPr>
      <w:pStyle w:val="Normal"/>
      <w:spacing w:before="0" w:after="0"/>
      <w:rPr/>
    </w:pPr>
    <w:hyperlink r:id="rId1">
      <w:r>
        <w:rPr>
          <w:rStyle w:val="Hyperlink"/>
          <w:rFonts w:eastAsia="Times New Roman" w:cs="Calibri" w:cstheme="minorHAnsi"/>
          <w:b/>
          <w:sz w:val="40"/>
          <w:szCs w:val="40"/>
          <w:vertAlign w:val="subscript"/>
        </w:rPr>
        <w:t>rajangauchan10@gmail.com</w:t>
      </w:r>
    </w:hyperlink>
    <w:r>
      <w:rPr>
        <w:rFonts w:eastAsia="Times New Roman" w:cs="Calibri" w:cstheme="minorHAnsi"/>
        <w:b/>
        <w:color w:val="000000"/>
        <w:sz w:val="40"/>
        <w:szCs w:val="40"/>
        <w:vertAlign w:val="subscript"/>
      </w:rPr>
      <w:t xml:space="preserve"> </w:t>
    </w:r>
    <w:r>
      <w:rPr>
        <w:rFonts w:eastAsia="Times New Roman" w:cs="Calibri" w:cstheme="minorHAnsi"/>
        <w:b/>
        <w:sz w:val="40"/>
        <w:szCs w:val="40"/>
        <w:vertAlign w:val="subscript"/>
      </w:rPr>
      <w:t xml:space="preserve">| </w:t>
    </w:r>
    <w:hyperlink r:id="rId2">
      <w:r>
        <w:rPr>
          <w:rStyle w:val="Hyperlink"/>
          <w:rFonts w:eastAsia="Times New Roman" w:cs="Calibri" w:cstheme="minorHAnsi"/>
          <w:b/>
          <w:sz w:val="40"/>
          <w:szCs w:val="40"/>
          <w:vertAlign w:val="subscript"/>
        </w:rPr>
        <w:t>www.linkedin.com/in/rajangauchan</w:t>
      </w:r>
    </w:hyperlink>
  </w:p>
  <w:p>
    <w:pPr>
      <w:pStyle w:val="Normal"/>
      <w:spacing w:before="0" w:after="0"/>
      <w:rPr>
        <w:rFonts w:eastAsia="Times New Roman" w:cs="Calibri" w:cstheme="minorHAnsi"/>
        <w:bCs/>
        <w:kern w:val="0"/>
        <w:lang w:val="en-US"/>
        <w14:ligatures w14:val="none"/>
      </w:rPr>
    </w:pPr>
    <w:r>
      <w:rPr/>
      <w:t>Toronto, ON| 437- 438 -7160 | Open to On-site Opportunities Anywhere in Canada within 2 weeks’ notice</w:t>
    </w:r>
  </w:p>
  <w:p>
    <w:pPr>
      <w:pStyle w:val="Normal"/>
      <w:spacing w:before="0" w:after="0"/>
      <w:rPr>
        <w:rFonts w:eastAsia="Times New Roman" w:cs="Calibri" w:cstheme="minorHAnsi"/>
        <w:bCs/>
        <w:kern w:val="0"/>
        <w:sz w:val="12"/>
        <w:szCs w:val="12"/>
        <w:lang w:val="en-US"/>
        <w14:ligatures w14:val="none"/>
      </w:rPr>
    </w:pPr>
    <w:r>
      <w:rPr>
        <w:rFonts w:eastAsia="Times New Roman" w:cs="Calibri" w:cstheme="minorHAnsi"/>
        <w:bCs/>
        <w:kern w:val="0"/>
        <w:sz w:val="12"/>
        <w:szCs w:val="12"/>
        <w:lang w:val="en-US"/>
        <w14:ligatures w14:val="none"/>
      </w:rPr>
    </w:r>
  </w:p>
  <w:p>
    <w:pPr>
      <w:pStyle w:val="NormalWeb"/>
      <w:widowControl/>
      <w:bidi w:val="0"/>
      <w:spacing w:beforeAutospacing="0" w:before="0" w:afterAutospacing="0" w:after="0"/>
      <w:jc w:val="start"/>
      <w:rPr>
        <w:rFonts w:ascii="Calibri" w:hAnsi="Calibri" w:cs="Calibri" w:asciiTheme="minorHAnsi" w:cstheme="minorHAnsi" w:hAnsiTheme="minorHAnsi"/>
        <w:b/>
        <w:sz w:val="24"/>
        <w:szCs w:val="24"/>
      </w:rPr>
    </w:pPr>
    <w:r>
      <w:rPr>
        <w:rFonts w:cs="Calibri" w:ascii="Calibri" w:hAnsi="Calibri" w:cstheme="minorHAnsi"/>
        <w:b/>
        <w:sz w:val="24"/>
        <w:szCs w:val="24"/>
      </w:rPr>
      <w:t>Security Operations Engineer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>
        <w:rFonts w:eastAsia="Times New Roman" w:cs="Calibri" w:cstheme="minorHAnsi"/>
        <w:b/>
        <w:sz w:val="48"/>
        <w:szCs w:val="48"/>
        <w:vertAlign w:val="subscript"/>
      </w:rPr>
      <w:t>Rajan Gauchan</w:t>
    </w:r>
  </w:p>
  <w:p>
    <w:pPr>
      <w:pStyle w:val="Normal"/>
      <w:spacing w:before="0" w:after="0"/>
      <w:rPr/>
    </w:pPr>
    <w:hyperlink r:id="rId1">
      <w:r>
        <w:rPr>
          <w:rStyle w:val="Hyperlink"/>
          <w:rFonts w:eastAsia="Times New Roman" w:cs="Calibri" w:cstheme="minorHAnsi"/>
          <w:b/>
          <w:sz w:val="40"/>
          <w:szCs w:val="40"/>
          <w:vertAlign w:val="subscript"/>
        </w:rPr>
        <w:t>rajangauchan10@gmail.com</w:t>
      </w:r>
    </w:hyperlink>
    <w:r>
      <w:rPr>
        <w:rFonts w:eastAsia="Times New Roman" w:cs="Calibri" w:cstheme="minorHAnsi"/>
        <w:b/>
        <w:color w:val="000000"/>
        <w:sz w:val="40"/>
        <w:szCs w:val="40"/>
        <w:vertAlign w:val="subscript"/>
      </w:rPr>
      <w:t xml:space="preserve"> </w:t>
    </w:r>
    <w:r>
      <w:rPr>
        <w:rFonts w:eastAsia="Times New Roman" w:cs="Calibri" w:cstheme="minorHAnsi"/>
        <w:b/>
        <w:sz w:val="40"/>
        <w:szCs w:val="40"/>
        <w:vertAlign w:val="subscript"/>
      </w:rPr>
      <w:t xml:space="preserve">| </w:t>
    </w:r>
    <w:hyperlink r:id="rId2">
      <w:r>
        <w:rPr>
          <w:rStyle w:val="Hyperlink"/>
          <w:rFonts w:eastAsia="Times New Roman" w:cs="Calibri" w:cstheme="minorHAnsi"/>
          <w:b/>
          <w:sz w:val="40"/>
          <w:szCs w:val="40"/>
          <w:vertAlign w:val="subscript"/>
        </w:rPr>
        <w:t>www.linkedin.com/in/rajangauchan</w:t>
      </w:r>
    </w:hyperlink>
  </w:p>
  <w:p>
    <w:pPr>
      <w:pStyle w:val="Normal"/>
      <w:spacing w:before="0" w:after="0"/>
      <w:rPr>
        <w:rFonts w:eastAsia="Times New Roman" w:cs="Calibri" w:cstheme="minorHAnsi"/>
        <w:bCs/>
        <w:kern w:val="0"/>
        <w:lang w:val="en-US"/>
        <w14:ligatures w14:val="none"/>
      </w:rPr>
    </w:pPr>
    <w:r>
      <w:rPr/>
      <w:t>Toronto, ON| 437- 438 -7160 | Open to On-site Opportunities Anywhere in Canada within 2 weeks’ notice</w:t>
    </w:r>
  </w:p>
  <w:p>
    <w:pPr>
      <w:pStyle w:val="Normal"/>
      <w:spacing w:before="0" w:after="0"/>
      <w:rPr>
        <w:rFonts w:eastAsia="Times New Roman" w:cs="Calibri" w:cstheme="minorHAnsi"/>
        <w:bCs/>
        <w:kern w:val="0"/>
        <w:sz w:val="12"/>
        <w:szCs w:val="12"/>
        <w:lang w:val="en-US"/>
        <w14:ligatures w14:val="none"/>
      </w:rPr>
    </w:pPr>
    <w:r>
      <w:rPr>
        <w:rFonts w:eastAsia="Times New Roman" w:cs="Calibri" w:cstheme="minorHAnsi"/>
        <w:bCs/>
        <w:kern w:val="0"/>
        <w:sz w:val="12"/>
        <w:szCs w:val="12"/>
        <w:lang w:val="en-US"/>
        <w14:ligatures w14:val="none"/>
      </w:rPr>
    </w:r>
  </w:p>
  <w:p>
    <w:pPr>
      <w:pStyle w:val="NormalWeb"/>
      <w:widowControl/>
      <w:bidi w:val="0"/>
      <w:spacing w:beforeAutospacing="0" w:before="0" w:afterAutospacing="0" w:after="0"/>
      <w:jc w:val="start"/>
      <w:rPr>
        <w:rFonts w:ascii="Calibri" w:hAnsi="Calibri" w:cs="Calibri" w:asciiTheme="minorHAnsi" w:cstheme="minorHAnsi" w:hAnsiTheme="minorHAnsi"/>
        <w:b/>
        <w:sz w:val="24"/>
        <w:szCs w:val="24"/>
      </w:rPr>
    </w:pPr>
    <w:r>
      <w:rPr>
        <w:rFonts w:cs="Calibri" w:ascii="Calibri" w:hAnsi="Calibri" w:cstheme="minorHAnsi"/>
        <w:b/>
        <w:sz w:val="24"/>
        <w:szCs w:val="24"/>
      </w:rPr>
      <w:t>Security Operations Engineer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080"/>
        </w:tabs>
        <w:ind w:star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080"/>
        </w:tabs>
        <w:ind w:star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080"/>
        </w:tabs>
        <w:ind w:star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080"/>
        </w:tabs>
        <w:ind w:star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44425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00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0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0600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0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0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0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0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0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0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060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060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0600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0600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0600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0600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0600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0600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0600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0600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0600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0600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0600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0600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06002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dd3440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dd3440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9340a"/>
    <w:rPr>
      <w:b/>
      <w:bCs/>
    </w:rPr>
  </w:style>
  <w:style w:type="character" w:styleId="Emphasis">
    <w:name w:val="Emphasis"/>
    <w:basedOn w:val="DefaultParagraphFont"/>
    <w:uiPriority w:val="20"/>
    <w:qFormat/>
    <w:rsid w:val="00673d7c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b06e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b06ec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10600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0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0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0600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eb259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b06e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b06e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file:///E:/Kali_linux/rajangauchan10@gmail.com" TargetMode="External"/><Relationship Id="rId2" Type="http://schemas.openxmlformats.org/officeDocument/2006/relationships/hyperlink" Target="file:///E:/Kali_linux/www.linkedin.com/in/rajangauchan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file:///E:/Kali_linux/rajangauchan10@gmail.com" TargetMode="External"/><Relationship Id="rId2" Type="http://schemas.openxmlformats.org/officeDocument/2006/relationships/hyperlink" Target="file:///E:/Kali_linux/www.linkedin.com/in/rajangauchan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LibreOffice/26.2.0.3$Windows_X86_64 LibreOffice_project/620$Build-3</Application>
  <AppVersion>15.0000</AppVersion>
  <Pages>2</Pages>
  <Words>864</Words>
  <Characters>5667</Characters>
  <CharactersWithSpaces>6502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2026-06-17T16:41:00Z</dcterms:created>
  <dc:creator>Sam  kahar</dc:creator>
  <dc:description/>
  <dc:language>en-US</dc:language>
  <cp:lastModifiedBy/>
  <cp:lastPrinted>2026-07-02T11:00:37Z</cp:lastPrinted>
  <dcterms:modified xsi:type="dcterms:W3CDTF">2026-07-06T13:53:09Z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