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280"/>
      </w:pPr>
      <w:r>
        <w:rPr>
          <w:rFonts w:ascii="Aptos" w:hAnsi="Aptos"/>
          <w:b/>
          <w:color w:val="287D8E"/>
          <w:sz w:val="20"/>
        </w:rPr>
        <w:t>DETAILED SOLUTION DESIGN</w:t>
      </w:r>
    </w:p>
    <w:p>
      <w:pPr>
        <w:pStyle w:val="Title"/>
      </w:pPr>
      <w:r>
        <w:t>NIST Cybersecurity Framework</w:t>
        <w:br/>
        <w:t>RAG Chatbot</w:t>
      </w:r>
    </w:p>
    <w:p>
      <w:pPr>
        <w:spacing w:after="600"/>
      </w:pPr>
      <w:r>
        <w:rPr>
          <w:rFonts w:ascii="Aptos" w:hAnsi="Aptos"/>
          <w:color w:val="334155"/>
          <w:sz w:val="30"/>
        </w:rPr>
        <w:t>Document processing, knowledge architecture, retrieval, evaluation, and AWS deployment</w:t>
      </w:r>
    </w:p>
    <w:p>
      <w:pPr>
        <w:spacing w:after="520" w:line="300" w:lineRule="auto"/>
      </w:pPr>
      <w:r>
        <w:rPr>
          <w:rFonts w:ascii="Aptos" w:hAnsi="Aptos"/>
          <w:color w:val="4B5563"/>
          <w:sz w:val="24"/>
        </w:rPr>
        <w:t>An implementation blueprint for converting authoritative NIST CSF documents into a governed, searchable knowledge base and producing accurate, cited answers through an evaluation-driven delivery process.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232"/>
            <w:shd w:fill="334155"/>
            <w:tcMar>
              <w:top w:w="90" w:type="dxa"/>
              <w:start w:w="120" w:type="dxa"/>
              <w:bottom w:w="90" w:type="dxa"/>
              <w:end w:w="120" w:type="dxa"/>
            </w:tcMar>
            <w:vAlign w:val="center"/>
          </w:tcPr>
          <w:p>
            <w:pPr>
              <w:spacing w:after="0"/>
              <w:jc w:val="left"/>
            </w:pPr>
            <w:r>
              <w:rPr>
                <w:rFonts w:ascii="Aptos" w:hAnsi="Aptos"/>
                <w:b/>
                <w:color w:val="FFFFFF"/>
                <w:sz w:val="18"/>
              </w:rPr>
              <w:t>Document</w:t>
            </w:r>
          </w:p>
        </w:tc>
        <w:tc>
          <w:tcPr>
            <w:tcW w:type="dxa" w:w="7488"/>
            <w:shd w:fill="334155"/>
            <w:tcMar>
              <w:top w:w="90" w:type="dxa"/>
              <w:start w:w="120" w:type="dxa"/>
              <w:bottom w:w="90" w:type="dxa"/>
              <w:end w:w="120" w:type="dxa"/>
            </w:tcMar>
            <w:vAlign w:val="center"/>
          </w:tcPr>
          <w:p>
            <w:pPr>
              <w:spacing w:after="0"/>
              <w:jc w:val="left"/>
            </w:pPr>
            <w:r>
              <w:rPr>
                <w:rFonts w:ascii="Aptos" w:hAnsi="Aptos"/>
                <w:b/>
                <w:color w:val="FFFFFF"/>
                <w:sz w:val="18"/>
              </w:rPr>
              <w:t>Value</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8"/>
              </w:rPr>
              <w:t>Status</w:t>
            </w:r>
          </w:p>
        </w:tc>
        <w:tc>
          <w:tcPr>
            <w:tcW w:type="dxa" w:w="7488"/>
            <w:shd w:fill="FFFFFF"/>
            <w:tcMar>
              <w:top w:w="80" w:type="dxa"/>
              <w:start w:w="120" w:type="dxa"/>
              <w:bottom w:w="80" w:type="dxa"/>
              <w:end w:w="120" w:type="dxa"/>
            </w:tcMar>
            <w:vAlign w:val="center"/>
          </w:tcPr>
          <w:p>
            <w:pPr>
              <w:spacing w:after="0" w:line="252" w:lineRule="auto"/>
              <w:jc w:val="left"/>
            </w:pPr>
            <w:r>
              <w:rPr>
                <w:rFonts w:ascii="Aptos" w:hAnsi="Aptos"/>
                <w:color w:val="000000"/>
                <w:sz w:val="18"/>
              </w:rPr>
              <w:t>Engineering design baseline</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8"/>
              </w:rPr>
              <w:t>Version</w:t>
            </w:r>
          </w:p>
        </w:tc>
        <w:tc>
          <w:tcPr>
            <w:tcW w:type="dxa" w:w="7488"/>
            <w:shd w:fill="EAF2F8"/>
            <w:tcMar>
              <w:top w:w="80" w:type="dxa"/>
              <w:start w:w="120" w:type="dxa"/>
              <w:bottom w:w="80" w:type="dxa"/>
              <w:end w:w="120" w:type="dxa"/>
            </w:tcMar>
            <w:vAlign w:val="center"/>
          </w:tcPr>
          <w:p>
            <w:pPr>
              <w:spacing w:after="0" w:line="252" w:lineRule="auto"/>
              <w:jc w:val="left"/>
            </w:pPr>
            <w:r>
              <w:rPr>
                <w:rFonts w:ascii="Aptos" w:hAnsi="Aptos"/>
                <w:color w:val="000000"/>
                <w:sz w:val="18"/>
              </w:rPr>
              <w:t>1.0</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8"/>
              </w:rPr>
              <w:t>Related document</w:t>
            </w:r>
          </w:p>
        </w:tc>
        <w:tc>
          <w:tcPr>
            <w:tcW w:type="dxa" w:w="7488"/>
            <w:shd w:fill="FFFFFF"/>
            <w:tcMar>
              <w:top w:w="80" w:type="dxa"/>
              <w:start w:w="120" w:type="dxa"/>
              <w:bottom w:w="80" w:type="dxa"/>
              <w:end w:w="120" w:type="dxa"/>
            </w:tcMar>
            <w:vAlign w:val="center"/>
          </w:tcPr>
          <w:p>
            <w:pPr>
              <w:spacing w:after="0" w:line="252" w:lineRule="auto"/>
              <w:jc w:val="left"/>
            </w:pPr>
            <w:r>
              <w:rPr>
                <w:rFonts w:ascii="Aptos" w:hAnsi="Aptos"/>
                <w:color w:val="000000"/>
                <w:sz w:val="18"/>
              </w:rPr>
              <w:t>NIST CSF RAG Chatbot Product Requirements Document version 1.2</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8"/>
              </w:rPr>
              <w:t>Lead developer</w:t>
            </w:r>
          </w:p>
        </w:tc>
        <w:tc>
          <w:tcPr>
            <w:tcW w:type="dxa" w:w="7488"/>
            <w:shd w:fill="EAF2F8"/>
            <w:tcMar>
              <w:top w:w="80" w:type="dxa"/>
              <w:start w:w="120" w:type="dxa"/>
              <w:bottom w:w="80" w:type="dxa"/>
              <w:end w:w="120" w:type="dxa"/>
            </w:tcMar>
            <w:vAlign w:val="center"/>
          </w:tcPr>
          <w:p>
            <w:pPr>
              <w:spacing w:after="0" w:line="252" w:lineRule="auto"/>
              <w:jc w:val="left"/>
            </w:pPr>
            <w:r>
              <w:rPr>
                <w:rFonts w:ascii="Aptos" w:hAnsi="Aptos"/>
                <w:color w:val="000000"/>
                <w:sz w:val="18"/>
              </w:rPr>
              <w:t>Sara Selvaraju</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8"/>
              </w:rPr>
              <w:t>Developer</w:t>
            </w:r>
          </w:p>
        </w:tc>
        <w:tc>
          <w:tcPr>
            <w:tcW w:type="dxa" w:w="7488"/>
            <w:shd w:fill="FFFFFF"/>
            <w:tcMar>
              <w:top w:w="80" w:type="dxa"/>
              <w:start w:w="120" w:type="dxa"/>
              <w:bottom w:w="80" w:type="dxa"/>
              <w:end w:w="120" w:type="dxa"/>
            </w:tcMar>
            <w:vAlign w:val="center"/>
          </w:tcPr>
          <w:p>
            <w:pPr>
              <w:spacing w:after="0" w:line="252" w:lineRule="auto"/>
              <w:jc w:val="left"/>
            </w:pPr>
            <w:r>
              <w:rPr>
                <w:rFonts w:ascii="Aptos" w:hAnsi="Aptos"/>
                <w:color w:val="000000"/>
                <w:sz w:val="18"/>
              </w:rPr>
              <w:t>Rajan Hans</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8"/>
              </w:rPr>
              <w:t>Date</w:t>
            </w:r>
          </w:p>
        </w:tc>
        <w:tc>
          <w:tcPr>
            <w:tcW w:type="dxa" w:w="7488"/>
            <w:shd w:fill="EAF2F8"/>
            <w:tcMar>
              <w:top w:w="80" w:type="dxa"/>
              <w:start w:w="120" w:type="dxa"/>
              <w:bottom w:w="80" w:type="dxa"/>
              <w:end w:w="120" w:type="dxa"/>
            </w:tcMar>
            <w:vAlign w:val="center"/>
          </w:tcPr>
          <w:p>
            <w:pPr>
              <w:spacing w:after="0" w:line="252" w:lineRule="auto"/>
              <w:jc w:val="left"/>
            </w:pPr>
            <w:r>
              <w:rPr>
                <w:rFonts w:ascii="Aptos" w:hAnsi="Aptos"/>
                <w:color w:val="000000"/>
                <w:sz w:val="18"/>
              </w:rPr>
              <w:t>18 September 2026</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8"/>
              </w:rPr>
              <w:t>Hosting platform</w:t>
            </w:r>
          </w:p>
        </w:tc>
        <w:tc>
          <w:tcPr>
            <w:tcW w:type="dxa" w:w="7488"/>
            <w:shd w:fill="FFFFFF"/>
            <w:tcMar>
              <w:top w:w="80" w:type="dxa"/>
              <w:start w:w="120" w:type="dxa"/>
              <w:bottom w:w="80" w:type="dxa"/>
              <w:end w:w="120" w:type="dxa"/>
            </w:tcMar>
            <w:vAlign w:val="center"/>
          </w:tcPr>
          <w:p>
            <w:pPr>
              <w:spacing w:after="0" w:line="252" w:lineRule="auto"/>
              <w:jc w:val="left"/>
            </w:pPr>
            <w:r>
              <w:rPr>
                <w:rFonts w:ascii="Aptos" w:hAnsi="Aptos"/>
                <w:color w:val="000000"/>
                <w:sz w:val="18"/>
              </w:rPr>
              <w:t>Amazon Web Services</w:t>
            </w:r>
          </w:p>
        </w:tc>
      </w:tr>
    </w:tbl>
    <w:p>
      <w:pPr>
        <w:spacing w:after="20"/>
      </w:pPr>
    </w:p>
    <w:p>
      <w:pPr>
        <w:pStyle w:val="SmallNote"/>
        <w:spacing w:before="200"/>
      </w:pPr>
      <w:r>
        <w:t>This document expands the high-level solution architecture in Section 7 of the PRD into the design that guides implementation, testing, deployment, and handover.</w:t>
      </w:r>
    </w:p>
    <w:p>
      <w:pPr>
        <w:pStyle w:val="Heading1"/>
        <w:keepNext/>
        <w:pageBreakBefore/>
      </w:pPr>
      <w:r>
        <w:rPr>
          <w:rFonts w:ascii="Aptos" w:hAnsi="Aptos"/>
          <w:b/>
          <w:color w:val="287D8E"/>
          <w:sz w:val="34"/>
        </w:rPr>
        <w:t xml:space="preserve">1  </w:t>
      </w:r>
      <w:r>
        <w:rPr>
          <w:rFonts w:ascii="Aptos" w:hAnsi="Aptos"/>
          <w:b/>
          <w:color w:val="000000"/>
          <w:sz w:val="34"/>
        </w:rPr>
        <w:t>Purpose and Design Summary</w:t>
      </w:r>
    </w:p>
    <w:p>
      <w:pPr>
        <w:spacing w:after="200"/>
      </w:pPr>
      <w:r>
        <w:rPr>
          <w:rFonts w:ascii="Aptos" w:hAnsi="Aptos"/>
          <w:i/>
          <w:color w:val="4B5563"/>
          <w:sz w:val="20"/>
        </w:rPr>
        <w:t>What this design defines and how it should be used</w:t>
      </w:r>
    </w:p>
    <w:p>
      <w:pPr>
        <w:spacing w:before="40" w:after="100"/>
      </w:pPr>
      <w:r>
        <w:rPr>
          <w:rFonts w:ascii="Aptos" w:hAnsi="Aptos"/>
          <w:b/>
          <w:color w:val="287D8E"/>
          <w:sz w:val="17"/>
        </w:rPr>
        <w:t>DESIGN INTENT</w:t>
      </w:r>
    </w:p>
    <w:p>
      <w:pPr>
        <w:spacing w:after="80" w:line="254" w:lineRule="auto"/>
      </w:pPr>
      <w:r>
        <w:rPr>
          <w:rFonts w:ascii="Aptos" w:hAnsi="Aptos"/>
          <w:sz w:val="20"/>
        </w:rPr>
        <w:t>The solution will preserve each NIST PDF as the authoritative source, convert it into a structured Markdown working representation, enrich it with NIST CSF hierarchy and version metadata, create structure-aware chunks, and index those chunks for hybrid lexical and semantic retrieval. Retrieved evidence will be reranked, checked for sufficiency, and passed to an approved Amazon Bedrock model to generate a concise answer with claim-level citations.</w:t>
      </w:r>
    </w:p>
    <w:p>
      <w:pPr>
        <w:spacing w:after="80" w:line="254" w:lineRule="auto"/>
      </w:pPr>
      <w:r>
        <w:rPr>
          <w:rFonts w:ascii="Aptos" w:hAnsi="Aptos"/>
          <w:sz w:val="20"/>
        </w:rPr>
        <w:t>Development will be driven by repeatable evaluations. The team will first improve chunking and retrieval, then answer accuracy and citations, and finally resilience against hallucination, prompt injection, and guardrail bypass. A versioned golden set of 50 questions will provide the common benchmark across these stages.</w:t>
      </w:r>
    </w:p>
    <w:p>
      <w:pPr>
        <w:pStyle w:val="Heading2"/>
        <w:keepNext/>
      </w:pPr>
      <w:r>
        <w:rPr>
          <w:rFonts w:ascii="Aptos" w:hAnsi="Aptos"/>
          <w:b/>
          <w:color w:val="000000"/>
          <w:sz w:val="25"/>
        </w:rPr>
        <w:t>Design Outcomes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664"/>
            <w:shd w:fill="17365D"/>
            <w:tcMar>
              <w:top w:w="90" w:type="dxa"/>
              <w:start w:w="120" w:type="dxa"/>
              <w:bottom w:w="90" w:type="dxa"/>
              <w:end w:w="120" w:type="dxa"/>
            </w:tcMar>
            <w:vAlign w:val="center"/>
          </w:tcPr>
          <w:p>
            <w:pPr>
              <w:spacing w:after="0"/>
              <w:jc w:val="left"/>
            </w:pPr>
            <w:r>
              <w:rPr>
                <w:rFonts w:ascii="Aptos" w:hAnsi="Aptos"/>
                <w:b/>
                <w:color w:val="FFFFFF"/>
                <w:sz w:val="18"/>
              </w:rPr>
              <w:t>Outcome</w:t>
            </w:r>
          </w:p>
        </w:tc>
        <w:tc>
          <w:tcPr>
            <w:tcW w:type="dxa" w:w="7056"/>
            <w:shd w:fill="17365D"/>
            <w:tcMar>
              <w:top w:w="90" w:type="dxa"/>
              <w:start w:w="120" w:type="dxa"/>
              <w:bottom w:w="90" w:type="dxa"/>
              <w:end w:w="120" w:type="dxa"/>
            </w:tcMar>
            <w:vAlign w:val="center"/>
          </w:tcPr>
          <w:p>
            <w:pPr>
              <w:spacing w:after="0"/>
              <w:jc w:val="left"/>
            </w:pPr>
            <w:r>
              <w:rPr>
                <w:rFonts w:ascii="Aptos" w:hAnsi="Aptos"/>
                <w:b/>
                <w:color w:val="FFFFFF"/>
                <w:sz w:val="18"/>
              </w:rPr>
              <w:t>Design response</w:t>
            </w:r>
          </w:p>
        </w:tc>
      </w:tr>
      <w:tr>
        <w:trPr>
          <w:cantSplit w:val="true"/>
        </w:trPr>
        <w:tc>
          <w:tcPr>
            <w:tcW w:type="dxa" w:w="2664"/>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Reliable document representation</w:t>
            </w:r>
          </w:p>
        </w:tc>
        <w:tc>
          <w:tcPr>
            <w:tcW w:type="dxa" w:w="705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Original PDFs remain immutable while validated Markdown and structured extraction artifacts support chunking and review</w:t>
            </w:r>
          </w:p>
        </w:tc>
      </w:tr>
      <w:tr>
        <w:trPr>
          <w:cantSplit w:val="true"/>
        </w:trPr>
        <w:tc>
          <w:tcPr>
            <w:tcW w:type="dxa" w:w="2664"/>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CSF-aware knowledge model</w:t>
            </w:r>
          </w:p>
        </w:tc>
        <w:tc>
          <w:tcPr>
            <w:tcW w:type="dxa" w:w="705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Function, Category, Subcategory, identifier, version, heading path, page range, authority, and resource type are preserved as metadata</w:t>
            </w:r>
          </w:p>
        </w:tc>
      </w:tr>
      <w:tr>
        <w:trPr>
          <w:cantSplit w:val="true"/>
        </w:trPr>
        <w:tc>
          <w:tcPr>
            <w:tcW w:type="dxa" w:w="2664"/>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High-quality retrieval</w:t>
            </w:r>
          </w:p>
        </w:tc>
        <w:tc>
          <w:tcPr>
            <w:tcW w:type="dxa" w:w="705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Keyword and vector search are combined, filtered by metadata, reranked, deduplicated, and evaluated against known relevant chunks</w:t>
            </w:r>
          </w:p>
        </w:tc>
      </w:tr>
      <w:tr>
        <w:trPr>
          <w:cantSplit w:val="true"/>
        </w:trPr>
        <w:tc>
          <w:tcPr>
            <w:tcW w:type="dxa" w:w="2664"/>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Grounded answers</w:t>
            </w:r>
          </w:p>
        </w:tc>
        <w:tc>
          <w:tcPr>
            <w:tcW w:type="dxa" w:w="705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The model receives only selected evidence, follows an answer contract, exposes citations, and refuses unsupported questions</w:t>
            </w:r>
          </w:p>
        </w:tc>
      </w:tr>
      <w:tr>
        <w:trPr>
          <w:cantSplit w:val="true"/>
        </w:trPr>
        <w:tc>
          <w:tcPr>
            <w:tcW w:type="dxa" w:w="2664"/>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Measurable improvement</w:t>
            </w:r>
          </w:p>
        </w:tc>
        <w:tc>
          <w:tcPr>
            <w:tcW w:type="dxa" w:w="705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Every meaningful change is compared against the same versioned evaluation set before promotion</w:t>
            </w:r>
          </w:p>
        </w:tc>
      </w:tr>
      <w:tr>
        <w:trPr>
          <w:cantSplit w:val="true"/>
        </w:trPr>
        <w:tc>
          <w:tcPr>
            <w:tcW w:type="dxa" w:w="2664"/>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Operable AWS service</w:t>
            </w:r>
          </w:p>
        </w:tc>
        <w:tc>
          <w:tcPr>
            <w:tcW w:type="dxa" w:w="705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Infrastructure, security, telemetry, backup, recovery, cost controls, and deployment are part of the delivered product</w:t>
            </w:r>
          </w:p>
        </w:tc>
      </w:tr>
    </w:tbl>
    <w:p>
      <w:pPr>
        <w:spacing w:after="20"/>
      </w:pPr>
    </w:p>
    <w:p>
      <w:pPr>
        <w:pStyle w:val="Heading2"/>
        <w:keepNext/>
      </w:pPr>
      <w:r>
        <w:rPr>
          <w:rFonts w:ascii="Aptos" w:hAnsi="Aptos"/>
          <w:b/>
          <w:color w:val="000000"/>
          <w:sz w:val="25"/>
        </w:rPr>
        <w:t>Design Principles</w:t>
      </w:r>
    </w:p>
    <w:p>
      <w:pPr>
        <w:pStyle w:val="ListBullet"/>
        <w:spacing w:after="40" w:line="250" w:lineRule="auto"/>
        <w:ind w:left="360" w:hanging="202"/>
      </w:pPr>
      <w:r>
        <w:rPr>
          <w:rFonts w:ascii="Aptos" w:hAnsi="Aptos"/>
          <w:sz w:val="20"/>
        </w:rPr>
        <w:t>The PDF is the authoritative publication; Markdown is a controlled processing representation, not a replacement source.</w:t>
      </w:r>
    </w:p>
    <w:p>
      <w:pPr>
        <w:pStyle w:val="ListBullet"/>
        <w:spacing w:after="40" w:line="250" w:lineRule="auto"/>
        <w:ind w:left="360" w:hanging="202"/>
      </w:pPr>
      <w:r>
        <w:rPr>
          <w:rFonts w:ascii="Aptos" w:hAnsi="Aptos"/>
          <w:sz w:val="20"/>
        </w:rPr>
        <w:t>Document structure is evidence. Headings, CSF identifiers, tables, lists, page locations, and version context must survive processing.</w:t>
      </w:r>
    </w:p>
    <w:p>
      <w:pPr>
        <w:pStyle w:val="ListBullet"/>
        <w:spacing w:after="40" w:line="250" w:lineRule="auto"/>
        <w:ind w:left="360" w:hanging="202"/>
      </w:pPr>
      <w:r>
        <w:rPr>
          <w:rFonts w:ascii="Aptos" w:hAnsi="Aptos"/>
          <w:sz w:val="20"/>
        </w:rPr>
        <w:t>Retrieval quality is tested before answer quality so generation does not hide weak evidence selection.</w:t>
      </w:r>
    </w:p>
    <w:p>
      <w:pPr>
        <w:pStyle w:val="ListBullet"/>
        <w:spacing w:after="40" w:line="250" w:lineRule="auto"/>
        <w:ind w:left="360" w:hanging="202"/>
      </w:pPr>
      <w:r>
        <w:rPr>
          <w:rFonts w:ascii="Aptos" w:hAnsi="Aptos"/>
          <w:sz w:val="20"/>
        </w:rPr>
        <w:t>Safety depends on layered application controls, AWS controls, and continuous red-team evaluation rather than a single prompt or guardrail.</w:t>
      </w:r>
    </w:p>
    <w:p>
      <w:pPr>
        <w:pStyle w:val="ListBullet"/>
        <w:spacing w:after="40" w:line="250" w:lineRule="auto"/>
        <w:ind w:left="360" w:hanging="202"/>
      </w:pPr>
      <w:r>
        <w:rPr>
          <w:rFonts w:ascii="Aptos" w:hAnsi="Aptos"/>
          <w:sz w:val="20"/>
        </w:rPr>
        <w:t>All source, parser, chunking, embedding, index, prompt, model, guardrail, and evaluation versions must be reproducible.</w:t>
      </w:r>
    </w:p>
    <w:p>
      <w:pPr>
        <w:pStyle w:val="Heading1"/>
        <w:keepNext/>
        <w:pageBreakBefore/>
      </w:pPr>
      <w:r>
        <w:rPr>
          <w:rFonts w:ascii="Aptos" w:hAnsi="Aptos"/>
          <w:b/>
          <w:color w:val="287D8E"/>
          <w:sz w:val="34"/>
        </w:rPr>
        <w:t xml:space="preserve">2  </w:t>
      </w:r>
      <w:r>
        <w:rPr>
          <w:rFonts w:ascii="Aptos" w:hAnsi="Aptos"/>
          <w:b/>
          <w:color w:val="000000"/>
          <w:sz w:val="34"/>
        </w:rPr>
        <w:t>System Context and Architecture Overview</w:t>
      </w:r>
    </w:p>
    <w:p>
      <w:pPr>
        <w:spacing w:after="200"/>
      </w:pPr>
      <w:r>
        <w:rPr>
          <w:rFonts w:ascii="Aptos" w:hAnsi="Aptos"/>
          <w:i/>
          <w:color w:val="4B5563"/>
          <w:sz w:val="20"/>
        </w:rPr>
        <w:t>The components and the movement of content and questions</w:t>
      </w:r>
    </w:p>
    <w:p>
      <w:pPr>
        <w:pStyle w:val="Heading2"/>
        <w:keepNext/>
      </w:pPr>
      <w:r>
        <w:rPr>
          <w:rFonts w:ascii="Aptos" w:hAnsi="Aptos"/>
          <w:b/>
          <w:color w:val="000000"/>
          <w:sz w:val="25"/>
        </w:rPr>
        <w:t>Architecture at a Glance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800"/>
            <w:shd w:fill="17365D"/>
            <w:tcMar>
              <w:top w:w="90" w:type="dxa"/>
              <w:start w:w="120" w:type="dxa"/>
              <w:bottom w:w="90" w:type="dxa"/>
              <w:end w:w="120" w:type="dxa"/>
            </w:tcMar>
            <w:vAlign w:val="center"/>
          </w:tcPr>
          <w:p>
            <w:pPr>
              <w:spacing w:after="0"/>
              <w:jc w:val="left"/>
            </w:pPr>
            <w:r>
              <w:rPr>
                <w:rFonts w:ascii="Aptos" w:hAnsi="Aptos"/>
                <w:b/>
                <w:color w:val="FFFFFF"/>
                <w:sz w:val="18"/>
              </w:rPr>
              <w:t>Layer</w:t>
            </w:r>
          </w:p>
        </w:tc>
        <w:tc>
          <w:tcPr>
            <w:tcW w:type="dxa" w:w="3960"/>
            <w:shd w:fill="17365D"/>
            <w:tcMar>
              <w:top w:w="90" w:type="dxa"/>
              <w:start w:w="120" w:type="dxa"/>
              <w:bottom w:w="90" w:type="dxa"/>
              <w:end w:w="120" w:type="dxa"/>
            </w:tcMar>
            <w:vAlign w:val="center"/>
          </w:tcPr>
          <w:p>
            <w:pPr>
              <w:spacing w:after="0"/>
              <w:jc w:val="left"/>
            </w:pPr>
            <w:r>
              <w:rPr>
                <w:rFonts w:ascii="Aptos" w:hAnsi="Aptos"/>
                <w:b/>
                <w:color w:val="FFFFFF"/>
                <w:sz w:val="18"/>
              </w:rPr>
              <w:t>Primary responsibility</w:t>
            </w:r>
          </w:p>
        </w:tc>
        <w:tc>
          <w:tcPr>
            <w:tcW w:type="dxa" w:w="3960"/>
            <w:shd w:fill="17365D"/>
            <w:tcMar>
              <w:top w:w="90" w:type="dxa"/>
              <w:start w:w="120" w:type="dxa"/>
              <w:bottom w:w="90" w:type="dxa"/>
              <w:end w:w="120" w:type="dxa"/>
            </w:tcMar>
            <w:vAlign w:val="center"/>
          </w:tcPr>
          <w:p>
            <w:pPr>
              <w:spacing w:after="0"/>
              <w:jc w:val="left"/>
            </w:pPr>
            <w:r>
              <w:rPr>
                <w:rFonts w:ascii="Aptos" w:hAnsi="Aptos"/>
                <w:b/>
                <w:color w:val="FFFFFF"/>
                <w:sz w:val="18"/>
              </w:rPr>
              <w:t>Proposed AWS capability</w:t>
            </w:r>
          </w:p>
        </w:tc>
      </w:tr>
      <w:tr>
        <w:trPr>
          <w:cantSplit w:val="true"/>
        </w:trPr>
        <w:tc>
          <w:tcPr>
            <w:tcW w:type="dxa" w:w="180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Experience</w:t>
            </w:r>
          </w:p>
        </w:tc>
        <w:tc>
          <w:tcPr>
            <w:tcW w:type="dxa" w:w="396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Chat, citations, source viewing, feedback, and administration</w:t>
            </w:r>
          </w:p>
        </w:tc>
        <w:tc>
          <w:tcPr>
            <w:tcW w:type="dxa" w:w="396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CloudFront, AWS WAF, responsive web application</w:t>
            </w:r>
          </w:p>
        </w:tc>
      </w:tr>
      <w:tr>
        <w:trPr>
          <w:cantSplit w:val="true"/>
        </w:trPr>
        <w:tc>
          <w:tcPr>
            <w:tcW w:type="dxa" w:w="180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Application</w:t>
            </w:r>
          </w:p>
        </w:tc>
        <w:tc>
          <w:tcPr>
            <w:tcW w:type="dxa" w:w="396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Authentication, conversation control, retrieval orchestration, answer assembly, and APIs</w:t>
            </w:r>
          </w:p>
        </w:tc>
        <w:tc>
          <w:tcPr>
            <w:tcW w:type="dxa" w:w="396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ECS with AWS Fargate or a validated serverless alternative</w:t>
            </w:r>
          </w:p>
        </w:tc>
      </w:tr>
      <w:tr>
        <w:trPr>
          <w:cantSplit w:val="true"/>
        </w:trPr>
        <w:tc>
          <w:tcPr>
            <w:tcW w:type="dxa" w:w="180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Document processing</w:t>
            </w:r>
          </w:p>
        </w:tc>
        <w:tc>
          <w:tcPr>
            <w:tcW w:type="dxa" w:w="396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Source intake, validation, PDF extraction, Markdown generation, metadata enrichment, and chunking</w:t>
            </w:r>
          </w:p>
        </w:tc>
        <w:tc>
          <w:tcPr>
            <w:tcW w:type="dxa" w:w="396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S3, EventBridge, Step Functions, Lambda or container tasks, Textract fallback</w:t>
            </w:r>
          </w:p>
        </w:tc>
      </w:tr>
      <w:tr>
        <w:trPr>
          <w:cantSplit w:val="true"/>
        </w:trPr>
        <w:tc>
          <w:tcPr>
            <w:tcW w:type="dxa" w:w="180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Search</w:t>
            </w:r>
          </w:p>
        </w:tc>
        <w:tc>
          <w:tcPr>
            <w:tcW w:type="dxa" w:w="396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Lexical and vector indexing, filters, hybrid search, and retrieval diagnostics</w:t>
            </w:r>
          </w:p>
        </w:tc>
        <w:tc>
          <w:tcPr>
            <w:tcW w:type="dxa" w:w="396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Amazon OpenSearch Service</w:t>
            </w:r>
          </w:p>
        </w:tc>
      </w:tr>
      <w:tr>
        <w:trPr>
          <w:cantSplit w:val="true"/>
        </w:trPr>
        <w:tc>
          <w:tcPr>
            <w:tcW w:type="dxa" w:w="180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Generation</w:t>
            </w:r>
          </w:p>
        </w:tc>
        <w:tc>
          <w:tcPr>
            <w:tcW w:type="dxa" w:w="396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Embeddings, grounded answer generation, and configured safeguards</w:t>
            </w:r>
          </w:p>
        </w:tc>
        <w:tc>
          <w:tcPr>
            <w:tcW w:type="dxa" w:w="396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Amazon Bedrock models and Bedrock Guardrails</w:t>
            </w:r>
          </w:p>
        </w:tc>
      </w:tr>
      <w:tr>
        <w:trPr>
          <w:cantSplit w:val="true"/>
        </w:trPr>
        <w:tc>
          <w:tcPr>
            <w:tcW w:type="dxa" w:w="180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Metadata</w:t>
            </w:r>
          </w:p>
        </w:tc>
        <w:tc>
          <w:tcPr>
            <w:tcW w:type="dxa" w:w="396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Source registry, processing jobs, versions, feedback, evaluation runs, and release records</w:t>
            </w:r>
          </w:p>
        </w:tc>
        <w:tc>
          <w:tcPr>
            <w:tcW w:type="dxa" w:w="396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Amazon Aurora PostgreSQL</w:t>
            </w:r>
          </w:p>
        </w:tc>
      </w:tr>
      <w:tr>
        <w:trPr>
          <w:cantSplit w:val="true"/>
        </w:trPr>
        <w:tc>
          <w:tcPr>
            <w:tcW w:type="dxa" w:w="180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Security and operations</w:t>
            </w:r>
          </w:p>
        </w:tc>
        <w:tc>
          <w:tcPr>
            <w:tcW w:type="dxa" w:w="396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Identity, keys, secrets, logs, metrics, traces, audit, alerts, backup, and recovery</w:t>
            </w:r>
          </w:p>
        </w:tc>
        <w:tc>
          <w:tcPr>
            <w:tcW w:type="dxa" w:w="396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IAM, KMS, Secrets Manager, CloudWatch, CloudTrail, AWS Backup</w:t>
            </w:r>
          </w:p>
        </w:tc>
      </w:tr>
    </w:tbl>
    <w:p>
      <w:pPr>
        <w:spacing w:after="20"/>
      </w:pPr>
    </w:p>
    <w:p>
      <w:pPr>
        <w:pStyle w:val="Heading2"/>
        <w:keepNext/>
      </w:pPr>
      <w:r>
        <w:rPr>
          <w:rFonts w:ascii="Aptos" w:hAnsi="Aptos"/>
          <w:b/>
          <w:color w:val="000000"/>
          <w:sz w:val="25"/>
        </w:rPr>
        <w:t>End to End Content Flow</w:t>
      </w:r>
    </w:p>
    <w:p>
      <w:pPr>
        <w:spacing w:after="60" w:line="250" w:lineRule="auto"/>
        <w:ind w:left="403" w:hanging="259"/>
      </w:pPr>
      <w:r>
        <w:rPr>
          <w:rFonts w:ascii="Aptos" w:hAnsi="Aptos"/>
          <w:sz w:val="20"/>
        </w:rPr>
        <w:t>1. An authorized administrator registers a NIST document and uploads the immutable PDF to the source S3 location.</w:t>
      </w:r>
    </w:p>
    <w:p>
      <w:pPr>
        <w:spacing w:after="60" w:line="250" w:lineRule="auto"/>
        <w:ind w:left="403" w:hanging="259"/>
      </w:pPr>
      <w:r>
        <w:rPr>
          <w:rFonts w:ascii="Aptos" w:hAnsi="Aptos"/>
          <w:sz w:val="20"/>
        </w:rPr>
        <w:t>2. The processing workflow validates the file, extracts text and layout, removes repeated page furniture, and creates page-linked Markdown.</w:t>
      </w:r>
    </w:p>
    <w:p>
      <w:pPr>
        <w:spacing w:after="60" w:line="250" w:lineRule="auto"/>
        <w:ind w:left="403" w:hanging="259"/>
      </w:pPr>
      <w:r>
        <w:rPr>
          <w:rFonts w:ascii="Aptos" w:hAnsi="Aptos"/>
          <w:sz w:val="20"/>
        </w:rPr>
        <w:t>3. The enrichment step identifies the CSF hierarchy, document version, headings, identifiers, tables, lists, and source locations.</w:t>
      </w:r>
    </w:p>
    <w:p>
      <w:pPr>
        <w:spacing w:after="60" w:line="250" w:lineRule="auto"/>
        <w:ind w:left="403" w:hanging="259"/>
      </w:pPr>
      <w:r>
        <w:rPr>
          <w:rFonts w:ascii="Aptos" w:hAnsi="Aptos"/>
          <w:sz w:val="20"/>
        </w:rPr>
        <w:t>4. The chunker creates coherent passages, assigns deterministic identifiers, and records the exact source and processing versions.</w:t>
      </w:r>
    </w:p>
    <w:p>
      <w:pPr>
        <w:spacing w:after="60" w:line="250" w:lineRule="auto"/>
        <w:ind w:left="403" w:hanging="259"/>
      </w:pPr>
      <w:r>
        <w:rPr>
          <w:rFonts w:ascii="Aptos" w:hAnsi="Aptos"/>
          <w:sz w:val="20"/>
        </w:rPr>
        <w:t>5. The indexing job generates embeddings and writes searchable text, vectors, and filterable metadata to OpenSearch.</w:t>
      </w:r>
    </w:p>
    <w:p>
      <w:pPr>
        <w:spacing w:after="60" w:line="250" w:lineRule="auto"/>
        <w:ind w:left="403" w:hanging="259"/>
      </w:pPr>
      <w:r>
        <w:rPr>
          <w:rFonts w:ascii="Aptos" w:hAnsi="Aptos"/>
          <w:sz w:val="20"/>
        </w:rPr>
        <w:t>6. At question time, the application applies access and metadata filters, performs hybrid retrieval, reranks evidence, and selects a bounded context set.</w:t>
      </w:r>
    </w:p>
    <w:p>
      <w:pPr>
        <w:spacing w:after="60" w:line="250" w:lineRule="auto"/>
        <w:ind w:left="403" w:hanging="259"/>
      </w:pPr>
      <w:r>
        <w:rPr>
          <w:rFonts w:ascii="Aptos" w:hAnsi="Aptos"/>
          <w:sz w:val="20"/>
        </w:rPr>
        <w:t>7. The model generates an answer under the answer contract; the application validates citations and either returns the answer or safely declines.</w:t>
      </w:r>
    </w:p>
    <w:p>
      <w:pPr>
        <w:spacing w:after="60" w:line="250" w:lineRule="auto"/>
        <w:ind w:left="403" w:hanging="259"/>
      </w:pPr>
      <w:r>
        <w:rPr>
          <w:rFonts w:ascii="Aptos" w:hAnsi="Aptos"/>
          <w:sz w:val="20"/>
        </w:rPr>
        <w:t>8. Questions, retrieved chunks, scores, answers, citations, guardrail outcomes, feedback, and system versions are recorded for evaluation and support.</w:t>
      </w:r>
    </w:p>
    <w:p>
      <w:pPr>
        <w:pStyle w:val="Heading2"/>
        <w:keepNext/>
      </w:pPr>
      <w:r>
        <w:rPr>
          <w:rFonts w:ascii="Aptos" w:hAnsi="Aptos"/>
          <w:b/>
          <w:color w:val="000000"/>
          <w:sz w:val="25"/>
        </w:rPr>
        <w:t>Primary Trust Boundaries</w:t>
      </w:r>
    </w:p>
    <w:p>
      <w:pPr>
        <w:pStyle w:val="ListBullet"/>
        <w:spacing w:after="40" w:line="250" w:lineRule="auto"/>
        <w:ind w:left="360" w:hanging="202"/>
      </w:pPr>
      <w:r>
        <w:rPr>
          <w:rFonts w:ascii="Aptos" w:hAnsi="Aptos"/>
          <w:sz w:val="20"/>
        </w:rPr>
        <w:t>Uploaded documents and extracted content are untrusted until validation and promotion complete; administrative operations require stronger authorization and audit than ordinary question answering.</w:t>
      </w:r>
    </w:p>
    <w:p>
      <w:pPr>
        <w:pStyle w:val="ListBullet"/>
        <w:spacing w:after="40" w:line="250" w:lineRule="auto"/>
        <w:ind w:left="360" w:hanging="202"/>
      </w:pPr>
      <w:r>
        <w:rPr>
          <w:rFonts w:ascii="Aptos" w:hAnsi="Aptos"/>
          <w:sz w:val="20"/>
        </w:rPr>
        <w:t>Retrieved text is evidence data and must never be treated as system instructions.</w:t>
      </w:r>
    </w:p>
    <w:p>
      <w:pPr>
        <w:pStyle w:val="ListBullet"/>
        <w:spacing w:after="40" w:line="250" w:lineRule="auto"/>
        <w:ind w:left="360" w:hanging="202"/>
      </w:pPr>
      <w:r>
        <w:rPr>
          <w:rFonts w:ascii="Aptos" w:hAnsi="Aptos"/>
          <w:sz w:val="20"/>
        </w:rPr>
        <w:t>The model can compose an answer but cannot change the corpus, application configuration, AWS resources, or source documents.</w:t>
      </w:r>
    </w:p>
    <w:p>
      <w:pPr>
        <w:pStyle w:val="Heading1"/>
        <w:keepNext/>
        <w:pageBreakBefore/>
      </w:pPr>
      <w:r>
        <w:rPr>
          <w:rFonts w:ascii="Aptos" w:hAnsi="Aptos"/>
          <w:b/>
          <w:color w:val="287D8E"/>
          <w:sz w:val="34"/>
        </w:rPr>
        <w:t xml:space="preserve">3  </w:t>
      </w:r>
      <w:r>
        <w:rPr>
          <w:rFonts w:ascii="Aptos" w:hAnsi="Aptos"/>
          <w:b/>
          <w:color w:val="000000"/>
          <w:sz w:val="34"/>
        </w:rPr>
        <w:t>Document Ingestion and Preprocessing Architecture</w:t>
      </w:r>
    </w:p>
    <w:p>
      <w:pPr>
        <w:spacing w:after="200"/>
      </w:pPr>
      <w:r>
        <w:rPr>
          <w:rFonts w:ascii="Aptos" w:hAnsi="Aptos"/>
          <w:i/>
          <w:color w:val="4B5563"/>
          <w:sz w:val="20"/>
        </w:rPr>
        <w:t>Converting NIST PDFs into controlled Markdown and structured artifacts</w:t>
      </w:r>
    </w:p>
    <w:p>
      <w:pPr>
        <w:pStyle w:val="Heading2"/>
        <w:keepNext/>
      </w:pPr>
      <w:r>
        <w:rPr>
          <w:rFonts w:ascii="Aptos" w:hAnsi="Aptos"/>
          <w:b/>
          <w:color w:val="000000"/>
          <w:sz w:val="25"/>
        </w:rPr>
        <w:t>Source Intake</w:t>
      </w:r>
    </w:p>
    <w:p>
      <w:pPr>
        <w:spacing w:after="80" w:line="254" w:lineRule="auto"/>
      </w:pPr>
      <w:r>
        <w:rPr>
          <w:rFonts w:ascii="Aptos" w:hAnsi="Aptos"/>
          <w:sz w:val="20"/>
        </w:rPr>
        <w:t>All initial CSF sources are expected to arrive as PDF files. Each file is registered before processing with its publication title, authority, version, publication date, canonical URL, checksum, access classification, and lifecycle status. S3 versioning protects prior source objects, while the source registry distinguishes active, staged, superseded, and retired publications.</w:t>
      </w:r>
    </w:p>
    <w:p>
      <w:pPr>
        <w:pStyle w:val="Heading2"/>
        <w:keepNext/>
      </w:pPr>
      <w:r>
        <w:rPr>
          <w:rFonts w:ascii="Aptos" w:hAnsi="Aptos"/>
          <w:b/>
          <w:color w:val="000000"/>
          <w:sz w:val="25"/>
        </w:rPr>
        <w:t>PDF to Markdown Preprocessing</w:t>
      </w:r>
    </w:p>
    <w:p>
      <w:pPr>
        <w:spacing w:after="80" w:line="254" w:lineRule="auto"/>
      </w:pPr>
      <w:r>
        <w:rPr>
          <w:rFonts w:ascii="Aptos" w:hAnsi="Aptos"/>
          <w:sz w:val="20"/>
        </w:rPr>
        <w:t>The design includes an explicit preprocessing step that converts each PDF into Markdown. Markdown provides a readable and reviewable intermediate representation while preserving headings, paragraphs, lists, tables, links, page markers, and CSF identifiers. The conversion is deterministic and versioned so the same PDF and parser configuration produce the same result.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512"/>
            <w:shd w:fill="17365D"/>
            <w:tcMar>
              <w:top w:w="90" w:type="dxa"/>
              <w:start w:w="120" w:type="dxa"/>
              <w:bottom w:w="90" w:type="dxa"/>
              <w:end w:w="120" w:type="dxa"/>
            </w:tcMar>
            <w:vAlign w:val="center"/>
          </w:tcPr>
          <w:p>
            <w:pPr>
              <w:spacing w:after="0"/>
              <w:jc w:val="left"/>
            </w:pPr>
            <w:r>
              <w:rPr>
                <w:rFonts w:ascii="Aptos" w:hAnsi="Aptos"/>
                <w:b/>
                <w:color w:val="FFFFFF"/>
                <w:sz w:val="18"/>
              </w:rPr>
              <w:t>Step</w:t>
            </w:r>
          </w:p>
        </w:tc>
        <w:tc>
          <w:tcPr>
            <w:tcW w:type="dxa" w:w="5400"/>
            <w:shd w:fill="17365D"/>
            <w:tcMar>
              <w:top w:w="90" w:type="dxa"/>
              <w:start w:w="120" w:type="dxa"/>
              <w:bottom w:w="90" w:type="dxa"/>
              <w:end w:w="120" w:type="dxa"/>
            </w:tcMar>
            <w:vAlign w:val="center"/>
          </w:tcPr>
          <w:p>
            <w:pPr>
              <w:spacing w:after="0"/>
              <w:jc w:val="left"/>
            </w:pPr>
            <w:r>
              <w:rPr>
                <w:rFonts w:ascii="Aptos" w:hAnsi="Aptos"/>
                <w:b/>
                <w:color w:val="FFFFFF"/>
                <w:sz w:val="18"/>
              </w:rPr>
              <w:t>Processing behavior</w:t>
            </w:r>
          </w:p>
        </w:tc>
        <w:tc>
          <w:tcPr>
            <w:tcW w:type="dxa" w:w="2808"/>
            <w:shd w:fill="17365D"/>
            <w:tcMar>
              <w:top w:w="90" w:type="dxa"/>
              <w:start w:w="120" w:type="dxa"/>
              <w:bottom w:w="90" w:type="dxa"/>
              <w:end w:w="120" w:type="dxa"/>
            </w:tcMar>
            <w:vAlign w:val="center"/>
          </w:tcPr>
          <w:p>
            <w:pPr>
              <w:spacing w:after="0"/>
              <w:jc w:val="left"/>
            </w:pPr>
            <w:r>
              <w:rPr>
                <w:rFonts w:ascii="Aptos" w:hAnsi="Aptos"/>
                <w:b/>
                <w:color w:val="FFFFFF"/>
                <w:sz w:val="18"/>
              </w:rPr>
              <w:t>Output or control evidence</w:t>
            </w:r>
          </w:p>
        </w:tc>
      </w:tr>
      <w:tr>
        <w:trPr>
          <w:cantSplit w:val="true"/>
        </w:trPr>
        <w:tc>
          <w:tcPr>
            <w:tcW w:type="dxa" w:w="151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Validate</w:t>
            </w:r>
          </w:p>
        </w:tc>
        <w:tc>
          <w:tcPr>
            <w:tcW w:type="dxa" w:w="540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Verify file type, checksum, page count, encryption state, malware result, and registration metadata</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Source manifest and validation result</w:t>
            </w:r>
          </w:p>
        </w:tc>
      </w:tr>
      <w:tr>
        <w:trPr>
          <w:cantSplit w:val="true"/>
        </w:trPr>
        <w:tc>
          <w:tcPr>
            <w:tcW w:type="dxa" w:w="151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Extract</w:t>
            </w:r>
          </w:p>
        </w:tc>
        <w:tc>
          <w:tcPr>
            <w:tcW w:type="dxa" w:w="540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Use a native PDF parser first; invoke Textract layout and table analysis when pages are scanned, reading order is unreliable, or structured tables require recovery</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Page-linked extraction JSON and confidence data</w:t>
            </w:r>
          </w:p>
        </w:tc>
      </w:tr>
      <w:tr>
        <w:trPr>
          <w:cantSplit w:val="true"/>
        </w:trPr>
        <w:tc>
          <w:tcPr>
            <w:tcW w:type="dxa" w:w="151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Normalize</w:t>
            </w:r>
          </w:p>
        </w:tc>
        <w:tc>
          <w:tcPr>
            <w:tcW w:type="dxa" w:w="540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Remove repeated headers and footers, repair reading order, normalize whitespace, preserve Unicode, and flag suspicious extraction</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Normalized text plus exception report</w:t>
            </w:r>
          </w:p>
        </w:tc>
      </w:tr>
      <w:tr>
        <w:trPr>
          <w:cantSplit w:val="true"/>
        </w:trPr>
        <w:tc>
          <w:tcPr>
            <w:tcW w:type="dxa" w:w="151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Convert to Markdown</w:t>
            </w:r>
          </w:p>
        </w:tc>
        <w:tc>
          <w:tcPr>
            <w:tcW w:type="dxa" w:w="540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Map titles, headings, paragraphs, lists, tables, links, figures, and page anchors into stable Markdown conventions</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Versioned Markdown artifact</w:t>
            </w:r>
          </w:p>
        </w:tc>
      </w:tr>
      <w:tr>
        <w:trPr>
          <w:cantSplit w:val="true"/>
        </w:trPr>
        <w:tc>
          <w:tcPr>
            <w:tcW w:type="dxa" w:w="151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Validate structure</w:t>
            </w:r>
          </w:p>
        </w:tc>
        <w:tc>
          <w:tcPr>
            <w:tcW w:type="dxa" w:w="540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Check heading continuity, table completeness, identifier preservation, page coverage, and text-loss indicators</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Automated quality report and review status</w:t>
            </w:r>
          </w:p>
        </w:tc>
      </w:tr>
      <w:tr>
        <w:trPr>
          <w:cantSplit w:val="true"/>
        </w:trPr>
        <w:tc>
          <w:tcPr>
            <w:tcW w:type="dxa" w:w="151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Promote</w:t>
            </w:r>
          </w:p>
        </w:tc>
        <w:tc>
          <w:tcPr>
            <w:tcW w:type="dxa" w:w="540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Move validated artifacts from staging to the curated processing zone without altering the original PDF</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Promotion record and immutable artifact versions</w:t>
            </w:r>
          </w:p>
        </w:tc>
      </w:tr>
    </w:tbl>
    <w:p>
      <w:pPr>
        <w:spacing w:after="20"/>
      </w:pPr>
    </w:p>
    <w:p>
      <w:pPr>
        <w:pStyle w:val="Heading2"/>
        <w:keepNext/>
      </w:pPr>
      <w:r>
        <w:rPr>
          <w:rFonts w:ascii="Aptos" w:hAnsi="Aptos"/>
          <w:b/>
          <w:color w:val="000000"/>
          <w:sz w:val="25"/>
        </w:rPr>
        <w:t>Markdown Conventions</w:t>
      </w:r>
    </w:p>
    <w:p>
      <w:pPr>
        <w:pStyle w:val="ListBullet"/>
        <w:spacing w:after="40" w:line="250" w:lineRule="auto"/>
        <w:ind w:left="360" w:hanging="202"/>
      </w:pPr>
      <w:r>
        <w:rPr>
          <w:rFonts w:ascii="Aptos" w:hAnsi="Aptos"/>
          <w:sz w:val="20"/>
        </w:rPr>
        <w:t>Insert a page anchor at each source-page boundary so every chunk can resolve to one or more PDF pages.</w:t>
      </w:r>
    </w:p>
    <w:p>
      <w:pPr>
        <w:pStyle w:val="ListBullet"/>
        <w:spacing w:after="40" w:line="250" w:lineRule="auto"/>
        <w:ind w:left="360" w:hanging="202"/>
      </w:pPr>
      <w:r>
        <w:rPr>
          <w:rFonts w:ascii="Aptos" w:hAnsi="Aptos"/>
          <w:sz w:val="20"/>
        </w:rPr>
        <w:t>Use heading levels that reflect the document hierarchy rather than typography alone.</w:t>
      </w:r>
    </w:p>
    <w:p>
      <w:pPr>
        <w:pStyle w:val="ListBullet"/>
        <w:spacing w:after="40" w:line="250" w:lineRule="auto"/>
        <w:ind w:left="360" w:hanging="202"/>
      </w:pPr>
      <w:r>
        <w:rPr>
          <w:rFonts w:ascii="Aptos" w:hAnsi="Aptos"/>
          <w:sz w:val="20"/>
        </w:rPr>
        <w:t>Represent tables as Markdown tables when reliable; otherwise preserve a structured table object and a readable text rendering.</w:t>
      </w:r>
    </w:p>
    <w:p>
      <w:pPr>
        <w:pStyle w:val="ListBullet"/>
        <w:spacing w:after="40" w:line="250" w:lineRule="auto"/>
        <w:ind w:left="360" w:hanging="202"/>
      </w:pPr>
      <w:r>
        <w:rPr>
          <w:rFonts w:ascii="Aptos" w:hAnsi="Aptos"/>
          <w:sz w:val="20"/>
        </w:rPr>
        <w:t>Do not silently repair uncertain text. Mark low-confidence or ambiguous extraction for review.</w:t>
      </w:r>
    </w:p>
    <w:p>
      <w:pPr>
        <w:pStyle w:val="ListBullet"/>
        <w:spacing w:after="40" w:line="250" w:lineRule="auto"/>
        <w:ind w:left="360" w:hanging="202"/>
      </w:pPr>
      <w:r>
        <w:rPr>
          <w:rFonts w:ascii="Aptos" w:hAnsi="Aptos"/>
          <w:sz w:val="20"/>
        </w:rPr>
        <w:t>Store parser name, parser version, preprocessing configuration, processing time, and artifact checksum with every output.</w:t>
      </w:r>
    </w:p>
    <w:p>
      <w:pPr>
        <w:pStyle w:val="Heading2"/>
        <w:keepNext/>
      </w:pPr>
      <w:r>
        <w:rPr>
          <w:rFonts w:ascii="Aptos" w:hAnsi="Aptos"/>
          <w:b/>
          <w:color w:val="000000"/>
          <w:sz w:val="25"/>
        </w:rPr>
        <w:t>Preprocessing Acceptance Checks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880"/>
            <w:shd w:fill="17365D"/>
            <w:tcMar>
              <w:top w:w="90" w:type="dxa"/>
              <w:start w:w="120" w:type="dxa"/>
              <w:bottom w:w="90" w:type="dxa"/>
              <w:end w:w="120" w:type="dxa"/>
            </w:tcMar>
            <w:vAlign w:val="center"/>
          </w:tcPr>
          <w:p>
            <w:pPr>
              <w:spacing w:after="0"/>
              <w:jc w:val="left"/>
            </w:pPr>
            <w:r>
              <w:rPr>
                <w:rFonts w:ascii="Aptos" w:hAnsi="Aptos"/>
                <w:b/>
                <w:color w:val="FFFFFF"/>
                <w:sz w:val="18"/>
              </w:rPr>
              <w:t>Check</w:t>
            </w:r>
          </w:p>
        </w:tc>
        <w:tc>
          <w:tcPr>
            <w:tcW w:type="dxa" w:w="6840"/>
            <w:shd w:fill="17365D"/>
            <w:tcMar>
              <w:top w:w="90" w:type="dxa"/>
              <w:start w:w="120" w:type="dxa"/>
              <w:bottom w:w="90" w:type="dxa"/>
              <w:end w:w="120" w:type="dxa"/>
            </w:tcMar>
            <w:vAlign w:val="center"/>
          </w:tcPr>
          <w:p>
            <w:pPr>
              <w:spacing w:after="0"/>
              <w:jc w:val="left"/>
            </w:pPr>
            <w:r>
              <w:rPr>
                <w:rFonts w:ascii="Aptos" w:hAnsi="Aptos"/>
                <w:b/>
                <w:color w:val="FFFFFF"/>
                <w:sz w:val="18"/>
              </w:rPr>
              <w:t>Target</w:t>
            </w:r>
          </w:p>
        </w:tc>
      </w:tr>
      <w:tr>
        <w:trPr>
          <w:cantSplit w:val="true"/>
        </w:trPr>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Page coverage</w:t>
            </w:r>
          </w:p>
        </w:tc>
        <w:tc>
          <w:tcPr>
            <w:tcW w:type="dxa" w:w="684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Every source page is represented or explicitly recorded as intentionally empty</w:t>
            </w:r>
          </w:p>
        </w:tc>
      </w:tr>
      <w:tr>
        <w:trPr>
          <w:cantSplit w:val="true"/>
        </w:trPr>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CSF identifier preservation</w:t>
            </w:r>
          </w:p>
        </w:tc>
        <w:tc>
          <w:tcPr>
            <w:tcW w:type="dxa" w:w="684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100 percent of identifiers in the source appear correctly in the curated representation</w:t>
            </w:r>
          </w:p>
        </w:tc>
      </w:tr>
      <w:tr>
        <w:trPr>
          <w:cantSplit w:val="true"/>
        </w:trPr>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Heading and list fidelity</w:t>
            </w:r>
          </w:p>
        </w:tc>
        <w:tc>
          <w:tcPr>
            <w:tcW w:type="dxa" w:w="684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No material hierarchy loss in the sampled review set</w:t>
            </w:r>
          </w:p>
        </w:tc>
      </w:tr>
      <w:tr>
        <w:trPr>
          <w:cantSplit w:val="true"/>
        </w:trPr>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Table fidelity</w:t>
            </w:r>
          </w:p>
        </w:tc>
        <w:tc>
          <w:tcPr>
            <w:tcW w:type="dxa" w:w="684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All material table rows and headers are preserved or routed to exception review</w:t>
            </w:r>
          </w:p>
        </w:tc>
      </w:tr>
      <w:tr>
        <w:trPr>
          <w:cantSplit w:val="true"/>
        </w:trPr>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Traceability</w:t>
            </w:r>
          </w:p>
        </w:tc>
        <w:tc>
          <w:tcPr>
            <w:tcW w:type="dxa" w:w="684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Every Markdown block can resolve to the source document version and page location</w:t>
            </w:r>
          </w:p>
        </w:tc>
      </w:tr>
    </w:tbl>
    <w:p>
      <w:pPr>
        <w:spacing w:after="20"/>
      </w:pPr>
    </w:p>
    <w:p>
      <w:pPr>
        <w:pStyle w:val="Heading2"/>
        <w:keepNext/>
      </w:pPr>
      <w:r>
        <w:rPr>
          <w:rFonts w:ascii="Aptos" w:hAnsi="Aptos"/>
          <w:b/>
          <w:color w:val="000000"/>
          <w:sz w:val="25"/>
        </w:rPr>
        <w:t>Exception Handling and Reprocessing</w:t>
      </w:r>
    </w:p>
    <w:p>
      <w:pPr>
        <w:pStyle w:val="ListBullet"/>
        <w:spacing w:after="40" w:line="250" w:lineRule="auto"/>
        <w:ind w:left="360" w:hanging="202"/>
      </w:pPr>
      <w:r>
        <w:rPr>
          <w:rFonts w:ascii="Aptos" w:hAnsi="Aptos"/>
          <w:sz w:val="20"/>
        </w:rPr>
        <w:t>Quarantine failed artifacts and identify the affected pages, parser version, and reason for failure.</w:t>
      </w:r>
    </w:p>
    <w:p>
      <w:pPr>
        <w:pStyle w:val="ListBullet"/>
        <w:spacing w:after="40" w:line="250" w:lineRule="auto"/>
        <w:ind w:left="360" w:hanging="202"/>
      </w:pPr>
      <w:r>
        <w:rPr>
          <w:rFonts w:ascii="Aptos" w:hAnsi="Aptos"/>
          <w:sz w:val="20"/>
        </w:rPr>
        <w:t>Permit page-level review or alternate extraction without manually changing the authoritative PDF.</w:t>
      </w:r>
    </w:p>
    <w:p>
      <w:pPr>
        <w:pStyle w:val="ListBullet"/>
        <w:spacing w:after="40" w:line="250" w:lineRule="auto"/>
        <w:ind w:left="360" w:hanging="202"/>
      </w:pPr>
      <w:r>
        <w:rPr>
          <w:rFonts w:ascii="Aptos" w:hAnsi="Aptos"/>
          <w:sz w:val="20"/>
        </w:rPr>
        <w:t>Make every processing stage idempotent so a safe retry cannot create duplicate source, chunk, or index records.</w:t>
      </w:r>
    </w:p>
    <w:p>
      <w:pPr>
        <w:pStyle w:val="ListBullet"/>
        <w:spacing w:after="40" w:line="250" w:lineRule="auto"/>
        <w:ind w:left="360" w:hanging="202"/>
      </w:pPr>
      <w:r>
        <w:rPr>
          <w:rFonts w:ascii="Aptos" w:hAnsi="Aptos"/>
          <w:sz w:val="20"/>
        </w:rPr>
        <w:t>Keep the last qualified curated artifact active until a replacement completes validation and promotion.</w:t>
      </w:r>
    </w:p>
    <w:p>
      <w:pPr>
        <w:spacing w:after="80" w:line="254" w:lineRule="auto"/>
      </w:pPr>
      <w:r>
        <w:rPr>
          <w:rFonts w:ascii="Aptos" w:hAnsi="Aptos"/>
          <w:sz w:val="20"/>
        </w:rPr>
        <w:t>The processing package for each source will contain the original-file manifest, page-level extraction, Markdown, recovered tables and images where applicable, exception report, validation result, and promotion record.</w:t>
      </w:r>
    </w:p>
    <w:p>
      <w:pPr>
        <w:pStyle w:val="Heading1"/>
        <w:keepNext/>
        <w:pageBreakBefore/>
      </w:pPr>
      <w:r>
        <w:rPr>
          <w:rFonts w:ascii="Aptos" w:hAnsi="Aptos"/>
          <w:b/>
          <w:color w:val="287D8E"/>
          <w:sz w:val="34"/>
        </w:rPr>
        <w:t xml:space="preserve">4  </w:t>
      </w:r>
      <w:r>
        <w:rPr>
          <w:rFonts w:ascii="Aptos" w:hAnsi="Aptos"/>
          <w:b/>
          <w:color w:val="000000"/>
          <w:sz w:val="34"/>
        </w:rPr>
        <w:t>CSF Structure and Metadata Design</w:t>
      </w:r>
    </w:p>
    <w:p>
      <w:pPr>
        <w:spacing w:after="200"/>
      </w:pPr>
      <w:r>
        <w:rPr>
          <w:rFonts w:ascii="Aptos" w:hAnsi="Aptos"/>
          <w:i/>
          <w:color w:val="4B5563"/>
          <w:sz w:val="20"/>
        </w:rPr>
        <w:t>Using framework hierarchy and versioning as retrieval signals</w:t>
      </w:r>
    </w:p>
    <w:p>
      <w:pPr>
        <w:spacing w:after="80" w:line="254" w:lineRule="auto"/>
      </w:pPr>
      <w:r>
        <w:rPr>
          <w:rFonts w:ascii="Aptos" w:hAnsi="Aptos"/>
          <w:sz w:val="20"/>
        </w:rPr>
        <w:t>NIST CSF documents contain useful structure that should be captured rather than flattened into plain text. The metadata enrichment step will explore and encode Category and Subcategory numbering, Function membership, document type, version, authority, page location, and heading path. This structure supports exact identifier search, filtered retrieval, citation construction, evaluation, and future cross-framework mapping.</w:t>
      </w:r>
    </w:p>
    <w:p>
      <w:pPr>
        <w:pStyle w:val="Heading2"/>
        <w:keepNext/>
      </w:pPr>
      <w:r>
        <w:rPr>
          <w:rFonts w:ascii="Aptos" w:hAnsi="Aptos"/>
          <w:b/>
          <w:color w:val="000000"/>
          <w:sz w:val="25"/>
        </w:rPr>
        <w:t>Metadata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232"/>
            <w:shd w:fill="17365D"/>
            <w:tcMar>
              <w:top w:w="90" w:type="dxa"/>
              <w:start w:w="120" w:type="dxa"/>
              <w:bottom w:w="90" w:type="dxa"/>
              <w:end w:w="120" w:type="dxa"/>
            </w:tcMar>
            <w:vAlign w:val="center"/>
          </w:tcPr>
          <w:p>
            <w:pPr>
              <w:spacing w:after="0"/>
              <w:jc w:val="left"/>
            </w:pPr>
            <w:r>
              <w:rPr>
                <w:rFonts w:ascii="Aptos" w:hAnsi="Aptos"/>
                <w:b/>
                <w:color w:val="FFFFFF"/>
                <w:sz w:val="18"/>
              </w:rPr>
              <w:t>Field</w:t>
            </w:r>
          </w:p>
        </w:tc>
        <w:tc>
          <w:tcPr>
            <w:tcW w:type="dxa" w:w="4680"/>
            <w:shd w:fill="17365D"/>
            <w:tcMar>
              <w:top w:w="90" w:type="dxa"/>
              <w:start w:w="120" w:type="dxa"/>
              <w:bottom w:w="90" w:type="dxa"/>
              <w:end w:w="120" w:type="dxa"/>
            </w:tcMar>
            <w:vAlign w:val="center"/>
          </w:tcPr>
          <w:p>
            <w:pPr>
              <w:spacing w:after="0"/>
              <w:jc w:val="left"/>
            </w:pPr>
            <w:r>
              <w:rPr>
                <w:rFonts w:ascii="Aptos" w:hAnsi="Aptos"/>
                <w:b/>
                <w:color w:val="FFFFFF"/>
                <w:sz w:val="18"/>
              </w:rPr>
              <w:t>Purpose</w:t>
            </w:r>
          </w:p>
        </w:tc>
        <w:tc>
          <w:tcPr>
            <w:tcW w:type="dxa" w:w="2808"/>
            <w:shd w:fill="17365D"/>
            <w:tcMar>
              <w:top w:w="90" w:type="dxa"/>
              <w:start w:w="120" w:type="dxa"/>
              <w:bottom w:w="90" w:type="dxa"/>
              <w:end w:w="120" w:type="dxa"/>
            </w:tcMar>
            <w:vAlign w:val="center"/>
          </w:tcPr>
          <w:p>
            <w:pPr>
              <w:spacing w:after="0"/>
              <w:jc w:val="left"/>
            </w:pPr>
            <w:r>
              <w:rPr>
                <w:rFonts w:ascii="Aptos" w:hAnsi="Aptos"/>
                <w:b/>
                <w:color w:val="FFFFFF"/>
                <w:sz w:val="18"/>
              </w:rPr>
              <w:t>Example</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source_id</w:t>
            </w:r>
          </w:p>
        </w:tc>
        <w:tc>
          <w:tcPr>
            <w:tcW w:type="dxa" w:w="46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Stable identifier for the registered source</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nist-cswp-29</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source_version</w:t>
            </w:r>
          </w:p>
        </w:tc>
        <w:tc>
          <w:tcPr>
            <w:tcW w:type="dxa" w:w="46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Published version or revision</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2.0</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source_authority</w:t>
            </w:r>
          </w:p>
        </w:tc>
        <w:tc>
          <w:tcPr>
            <w:tcW w:type="dxa" w:w="46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Authority ranking and display label</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NIST official</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resource_type</w:t>
            </w:r>
          </w:p>
        </w:tc>
        <w:tc>
          <w:tcPr>
            <w:tcW w:type="dxa" w:w="46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Core, quick-start guide, Profile, mapping, or implementation example</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Core</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effective_status</w:t>
            </w:r>
          </w:p>
        </w:tc>
        <w:tc>
          <w:tcPr>
            <w:tcW w:type="dxa" w:w="46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Lifecycle filter</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active</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function</w:t>
            </w:r>
          </w:p>
        </w:tc>
        <w:tc>
          <w:tcPr>
            <w:tcW w:type="dxa" w:w="46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Top-level CSF Function</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Govern</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category_id</w:t>
            </w:r>
          </w:p>
        </w:tc>
        <w:tc>
          <w:tcPr>
            <w:tcW w:type="dxa" w:w="46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Category identifier</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GV.OC</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category_title</w:t>
            </w:r>
          </w:p>
        </w:tc>
        <w:tc>
          <w:tcPr>
            <w:tcW w:type="dxa" w:w="46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Human-readable Category title</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Organizational Context</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subcategory_id</w:t>
            </w:r>
          </w:p>
        </w:tc>
        <w:tc>
          <w:tcPr>
            <w:tcW w:type="dxa" w:w="46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Exact outcome identifier</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GV.OC-01</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heading_path</w:t>
            </w:r>
          </w:p>
        </w:tc>
        <w:tc>
          <w:tcPr>
            <w:tcW w:type="dxa" w:w="46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Ordered structural context</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Govern &gt; Organizational Context &gt; GV.OC-01</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page_start and page_end</w:t>
            </w:r>
          </w:p>
        </w:tc>
        <w:tc>
          <w:tcPr>
            <w:tcW w:type="dxa" w:w="46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Human-verifiable source location</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3 and 4</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language</w:t>
            </w:r>
          </w:p>
        </w:tc>
        <w:tc>
          <w:tcPr>
            <w:tcW w:type="dxa" w:w="46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Language filter and embedding context</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en</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pipeline_version</w:t>
            </w:r>
          </w:p>
        </w:tc>
        <w:tc>
          <w:tcPr>
            <w:tcW w:type="dxa" w:w="46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Extraction and normalization lineage</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pdf-md-v1.0</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chunking_version</w:t>
            </w:r>
          </w:p>
        </w:tc>
        <w:tc>
          <w:tcPr>
            <w:tcW w:type="dxa" w:w="46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Chunk construction lineage</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csf-struct-v1.0</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embedding_version</w:t>
            </w:r>
          </w:p>
        </w:tc>
        <w:tc>
          <w:tcPr>
            <w:tcW w:type="dxa" w:w="46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Embedding model and dimensions</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model ID plus vector size</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access_classification</w:t>
            </w:r>
          </w:p>
        </w:tc>
        <w:tc>
          <w:tcPr>
            <w:tcW w:type="dxa" w:w="46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Authorization filter</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public-nist</w:t>
            </w:r>
          </w:p>
        </w:tc>
      </w:tr>
    </w:tbl>
    <w:p>
      <w:pPr>
        <w:spacing w:after="20"/>
      </w:pPr>
    </w:p>
    <w:p>
      <w:pPr>
        <w:pStyle w:val="Heading2"/>
        <w:keepNext/>
      </w:pPr>
      <w:r>
        <w:rPr>
          <w:rFonts w:ascii="Aptos" w:hAnsi="Aptos"/>
          <w:b/>
          <w:color w:val="000000"/>
          <w:sz w:val="25"/>
        </w:rPr>
        <w:t>Hierarchy Detection</w:t>
      </w:r>
    </w:p>
    <w:p>
      <w:pPr>
        <w:pStyle w:val="ListBullet"/>
        <w:spacing w:after="40" w:line="250" w:lineRule="auto"/>
        <w:ind w:left="360" w:hanging="202"/>
      </w:pPr>
      <w:r>
        <w:rPr>
          <w:rFonts w:ascii="Aptos" w:hAnsi="Aptos"/>
          <w:sz w:val="20"/>
        </w:rPr>
        <w:t>Prefer machine-readable NIST CSF exports as a validation source for identifiers and hierarchy when available.</w:t>
      </w:r>
    </w:p>
    <w:p>
      <w:pPr>
        <w:pStyle w:val="ListBullet"/>
        <w:spacing w:after="40" w:line="250" w:lineRule="auto"/>
        <w:ind w:left="360" w:hanging="202"/>
      </w:pPr>
      <w:r>
        <w:rPr>
          <w:rFonts w:ascii="Aptos" w:hAnsi="Aptos"/>
          <w:sz w:val="20"/>
        </w:rPr>
        <w:t>Use the PDF and its page structure as the human-readable citation authority.</w:t>
      </w:r>
    </w:p>
    <w:p>
      <w:pPr>
        <w:pStyle w:val="ListBullet"/>
        <w:spacing w:after="40" w:line="250" w:lineRule="auto"/>
        <w:ind w:left="360" w:hanging="202"/>
      </w:pPr>
      <w:r>
        <w:rPr>
          <w:rFonts w:ascii="Aptos" w:hAnsi="Aptos"/>
          <w:sz w:val="20"/>
        </w:rPr>
        <w:t>Detect identifiers with controlled patterns, then validate them against the known CSF hierarchy rather than accepting pattern matches alone.</w:t>
      </w:r>
    </w:p>
    <w:p>
      <w:pPr>
        <w:pStyle w:val="ListBullet"/>
        <w:spacing w:after="40" w:line="250" w:lineRule="auto"/>
        <w:ind w:left="360" w:hanging="202"/>
      </w:pPr>
      <w:r>
        <w:rPr>
          <w:rFonts w:ascii="Aptos" w:hAnsi="Aptos"/>
          <w:sz w:val="20"/>
        </w:rPr>
        <w:t>Record relationships between Functions, Categories, Subcategories, implementation examples, and informative references without merging their authority levels.</w:t>
      </w:r>
    </w:p>
    <w:p>
      <w:pPr>
        <w:pStyle w:val="Heading2"/>
        <w:keepNext/>
      </w:pPr>
      <w:r>
        <w:rPr>
          <w:rFonts w:ascii="Aptos" w:hAnsi="Aptos"/>
          <w:b/>
          <w:color w:val="000000"/>
          <w:sz w:val="25"/>
        </w:rPr>
        <w:t>Version and Authority Rules</w:t>
      </w:r>
    </w:p>
    <w:p>
      <w:pPr>
        <w:pStyle w:val="ListBullet"/>
        <w:spacing w:after="40" w:line="250" w:lineRule="auto"/>
        <w:ind w:left="360" w:hanging="202"/>
      </w:pPr>
      <w:r>
        <w:rPr>
          <w:rFonts w:ascii="Aptos" w:hAnsi="Aptos"/>
          <w:sz w:val="20"/>
        </w:rPr>
        <w:t>Never combine text from different source versions into one chunk.</w:t>
      </w:r>
    </w:p>
    <w:p>
      <w:pPr>
        <w:pStyle w:val="ListBullet"/>
        <w:spacing w:after="40" w:line="250" w:lineRule="auto"/>
        <w:ind w:left="360" w:hanging="202"/>
      </w:pPr>
      <w:r>
        <w:rPr>
          <w:rFonts w:ascii="Aptos" w:hAnsi="Aptos"/>
          <w:sz w:val="20"/>
        </w:rPr>
        <w:t>Default retrieval to active content while allowing explicit earlier-version questions.</w:t>
      </w:r>
    </w:p>
    <w:p>
      <w:pPr>
        <w:pStyle w:val="ListBullet"/>
        <w:spacing w:after="40" w:line="250" w:lineRule="auto"/>
        <w:ind w:left="360" w:hanging="202"/>
      </w:pPr>
      <w:r>
        <w:rPr>
          <w:rFonts w:ascii="Aptos" w:hAnsi="Aptos"/>
          <w:sz w:val="20"/>
        </w:rPr>
        <w:t>Rank official normative framework text above explanatory resources when both answer the same question.</w:t>
      </w:r>
    </w:p>
    <w:p>
      <w:pPr>
        <w:pStyle w:val="ListBullet"/>
        <w:spacing w:after="40" w:line="250" w:lineRule="auto"/>
        <w:ind w:left="360" w:hanging="202"/>
      </w:pPr>
      <w:r>
        <w:rPr>
          <w:rFonts w:ascii="Aptos" w:hAnsi="Aptos"/>
          <w:sz w:val="20"/>
        </w:rPr>
        <w:t>Display the applicable source and version in every answer when version differences could affect interpretation.</w:t>
      </w:r>
    </w:p>
    <w:p>
      <w:pPr>
        <w:pStyle w:val="Heading2"/>
        <w:keepNext/>
      </w:pPr>
      <w:r>
        <w:rPr>
          <w:rFonts w:ascii="Aptos" w:hAnsi="Aptos"/>
          <w:b/>
          <w:color w:val="000000"/>
          <w:sz w:val="25"/>
        </w:rPr>
        <w:t>Metadata Validation</w:t>
      </w:r>
    </w:p>
    <w:p>
      <w:pPr>
        <w:pStyle w:val="ListBullet"/>
        <w:spacing w:after="40" w:line="250" w:lineRule="auto"/>
        <w:ind w:left="360" w:hanging="202"/>
      </w:pPr>
      <w:r>
        <w:rPr>
          <w:rFonts w:ascii="Aptos" w:hAnsi="Aptos"/>
          <w:sz w:val="20"/>
        </w:rPr>
        <w:t>Reject an index candidate when a detected Category or Subcategory identifier does not resolve to the registered hierarchy for that source version.</w:t>
      </w:r>
    </w:p>
    <w:p>
      <w:pPr>
        <w:pStyle w:val="ListBullet"/>
        <w:spacing w:after="40" w:line="250" w:lineRule="auto"/>
        <w:ind w:left="360" w:hanging="202"/>
      </w:pPr>
      <w:r>
        <w:rPr>
          <w:rFonts w:ascii="Aptos" w:hAnsi="Aptos"/>
          <w:sz w:val="20"/>
        </w:rPr>
        <w:t>Compare sampled heading paths, identifiers, page ranges, and authority labels with the PDF before promotion.</w:t>
      </w:r>
    </w:p>
    <w:p>
      <w:pPr>
        <w:pStyle w:val="ListBullet"/>
        <w:spacing w:after="40" w:line="250" w:lineRule="auto"/>
        <w:ind w:left="360" w:hanging="202"/>
      </w:pPr>
      <w:r>
        <w:rPr>
          <w:rFonts w:ascii="Aptos" w:hAnsi="Aptos"/>
          <w:sz w:val="20"/>
        </w:rPr>
        <w:t>Record automated confidence and reviewer disposition for inferred metadata so uncertain enrichment remains visible.</w:t>
      </w:r>
    </w:p>
    <w:p>
      <w:pPr>
        <w:spacing w:after="80" w:line="254" w:lineRule="auto"/>
      </w:pPr>
      <w:r>
        <w:rPr>
          <w:rFonts w:ascii="Aptos" w:hAnsi="Aptos"/>
          <w:sz w:val="20"/>
        </w:rPr>
        <w:t>Metadata rules are schema-versioned. A schema change triggers migration or reprocessing and a retrieval regression run before the new fields influence production ranking.</w:t>
      </w:r>
    </w:p>
    <w:p>
      <w:pPr>
        <w:pStyle w:val="Heading1"/>
        <w:keepNext/>
        <w:pageBreakBefore/>
      </w:pPr>
      <w:r>
        <w:rPr>
          <w:rFonts w:ascii="Aptos" w:hAnsi="Aptos"/>
          <w:b/>
          <w:color w:val="287D8E"/>
          <w:sz w:val="34"/>
        </w:rPr>
        <w:t xml:space="preserve">5  </w:t>
      </w:r>
      <w:r>
        <w:rPr>
          <w:rFonts w:ascii="Aptos" w:hAnsi="Aptos"/>
          <w:b/>
          <w:color w:val="000000"/>
          <w:sz w:val="34"/>
        </w:rPr>
        <w:t>Chunking Architecture</w:t>
      </w:r>
    </w:p>
    <w:p>
      <w:pPr>
        <w:spacing w:after="200"/>
      </w:pPr>
      <w:r>
        <w:rPr>
          <w:rFonts w:ascii="Aptos" w:hAnsi="Aptos"/>
          <w:i/>
          <w:color w:val="4B5563"/>
          <w:sz w:val="20"/>
        </w:rPr>
        <w:t>Creating coherent evidence units without losing CSF context</w:t>
      </w:r>
    </w:p>
    <w:p>
      <w:pPr>
        <w:pStyle w:val="Heading2"/>
        <w:keepNext/>
      </w:pPr>
      <w:r>
        <w:rPr>
          <w:rFonts w:ascii="Aptos" w:hAnsi="Aptos"/>
          <w:b/>
          <w:color w:val="000000"/>
          <w:sz w:val="25"/>
        </w:rPr>
        <w:t>Chunking Strategy</w:t>
      </w:r>
    </w:p>
    <w:p>
      <w:pPr>
        <w:spacing w:after="80" w:line="254" w:lineRule="auto"/>
      </w:pPr>
      <w:r>
        <w:rPr>
          <w:rFonts w:ascii="Aptos" w:hAnsi="Aptos"/>
          <w:sz w:val="20"/>
        </w:rPr>
        <w:t>Chunking will be structure-aware rather than based on a fixed token count alone. The primary unit is the smallest self-contained section that can answer a question while retaining its heading path, CSF identifier, qualification, and source location. Token limits remain a boundary condition, but document meaning determines the initial split.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944"/>
            <w:shd w:fill="17365D"/>
            <w:tcMar>
              <w:top w:w="90" w:type="dxa"/>
              <w:start w:w="120" w:type="dxa"/>
              <w:bottom w:w="90" w:type="dxa"/>
              <w:end w:w="120" w:type="dxa"/>
            </w:tcMar>
            <w:vAlign w:val="center"/>
          </w:tcPr>
          <w:p>
            <w:pPr>
              <w:spacing w:after="0"/>
              <w:jc w:val="left"/>
            </w:pPr>
            <w:r>
              <w:rPr>
                <w:rFonts w:ascii="Aptos" w:hAnsi="Aptos"/>
                <w:b/>
                <w:color w:val="FFFFFF"/>
                <w:sz w:val="18"/>
              </w:rPr>
              <w:t>Content type</w:t>
            </w:r>
          </w:p>
        </w:tc>
        <w:tc>
          <w:tcPr>
            <w:tcW w:type="dxa" w:w="5112"/>
            <w:shd w:fill="17365D"/>
            <w:tcMar>
              <w:top w:w="90" w:type="dxa"/>
              <w:start w:w="120" w:type="dxa"/>
              <w:bottom w:w="90" w:type="dxa"/>
              <w:end w:w="120" w:type="dxa"/>
            </w:tcMar>
            <w:vAlign w:val="center"/>
          </w:tcPr>
          <w:p>
            <w:pPr>
              <w:spacing w:after="0"/>
              <w:jc w:val="left"/>
            </w:pPr>
            <w:r>
              <w:rPr>
                <w:rFonts w:ascii="Aptos" w:hAnsi="Aptos"/>
                <w:b/>
                <w:color w:val="FFFFFF"/>
                <w:sz w:val="18"/>
              </w:rPr>
              <w:t>Chunking rule</w:t>
            </w:r>
          </w:p>
        </w:tc>
        <w:tc>
          <w:tcPr>
            <w:tcW w:type="dxa" w:w="2664"/>
            <w:shd w:fill="17365D"/>
            <w:tcMar>
              <w:top w:w="90" w:type="dxa"/>
              <w:start w:w="120" w:type="dxa"/>
              <w:bottom w:w="90" w:type="dxa"/>
              <w:end w:w="120" w:type="dxa"/>
            </w:tcMar>
            <w:vAlign w:val="center"/>
          </w:tcPr>
          <w:p>
            <w:pPr>
              <w:spacing w:after="0"/>
              <w:jc w:val="left"/>
            </w:pPr>
            <w:r>
              <w:rPr>
                <w:rFonts w:ascii="Aptos" w:hAnsi="Aptos"/>
                <w:b/>
                <w:color w:val="FFFFFF"/>
                <w:sz w:val="18"/>
              </w:rPr>
              <w:t>Reason</w:t>
            </w:r>
          </w:p>
        </w:tc>
      </w:tr>
      <w:tr>
        <w:trPr>
          <w:cantSplit w:val="true"/>
        </w:trPr>
        <w:tc>
          <w:tcPr>
            <w:tcW w:type="dxa" w:w="194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CSF outcome</w:t>
            </w:r>
          </w:p>
        </w:tc>
        <w:tc>
          <w:tcPr>
            <w:tcW w:type="dxa" w:w="511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Keep the Subcategory identifier, outcome text, parent Category, and essential notes together</w:t>
            </w:r>
          </w:p>
        </w:tc>
        <w:tc>
          <w:tcPr>
            <w:tcW w:type="dxa" w:w="266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Exact identifiers and their meaning must not separate</w:t>
            </w:r>
          </w:p>
        </w:tc>
      </w:tr>
      <w:tr>
        <w:trPr>
          <w:cantSplit w:val="true"/>
        </w:trPr>
        <w:tc>
          <w:tcPr>
            <w:tcW w:type="dxa" w:w="194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Narrative section</w:t>
            </w:r>
          </w:p>
        </w:tc>
        <w:tc>
          <w:tcPr>
            <w:tcW w:type="dxa" w:w="511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Split at heading or paragraph boundaries; include the heading path with each child chunk</w:t>
            </w:r>
          </w:p>
        </w:tc>
        <w:tc>
          <w:tcPr>
            <w:tcW w:type="dxa" w:w="266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Preserves context without duplicating entire sections</w:t>
            </w:r>
          </w:p>
        </w:tc>
      </w:tr>
      <w:tr>
        <w:trPr>
          <w:cantSplit w:val="true"/>
        </w:trPr>
        <w:tc>
          <w:tcPr>
            <w:tcW w:type="dxa" w:w="194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List</w:t>
            </w:r>
          </w:p>
        </w:tc>
        <w:tc>
          <w:tcPr>
            <w:tcW w:type="dxa" w:w="511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Keep short lists together; split long lists into logical groups with the list introduction repeated</w:t>
            </w:r>
          </w:p>
        </w:tc>
        <w:tc>
          <w:tcPr>
            <w:tcW w:type="dxa" w:w="266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Avoids orphaned list items</w:t>
            </w:r>
          </w:p>
        </w:tc>
      </w:tr>
      <w:tr>
        <w:trPr>
          <w:cantSplit w:val="true"/>
        </w:trPr>
        <w:tc>
          <w:tcPr>
            <w:tcW w:type="dxa" w:w="194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Table</w:t>
            </w:r>
          </w:p>
        </w:tc>
        <w:tc>
          <w:tcPr>
            <w:tcW w:type="dxa" w:w="511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Keep small tables intact; split large tables by row groups while repeating headers and table title</w:t>
            </w:r>
          </w:p>
        </w:tc>
        <w:tc>
          <w:tcPr>
            <w:tcW w:type="dxa" w:w="266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Preserves row meaning and column context</w:t>
            </w:r>
          </w:p>
        </w:tc>
      </w:tr>
      <w:tr>
        <w:trPr>
          <w:cantSplit w:val="true"/>
        </w:trPr>
        <w:tc>
          <w:tcPr>
            <w:tcW w:type="dxa" w:w="194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Implementation example</w:t>
            </w:r>
          </w:p>
        </w:tc>
        <w:tc>
          <w:tcPr>
            <w:tcW w:type="dxa" w:w="511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Keep the example with its referenced outcome identifiers and resource type label</w:t>
            </w:r>
          </w:p>
        </w:tc>
        <w:tc>
          <w:tcPr>
            <w:tcW w:type="dxa" w:w="266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Prevents explanatory material from appearing normative</w:t>
            </w:r>
          </w:p>
        </w:tc>
      </w:tr>
      <w:tr>
        <w:trPr>
          <w:cantSplit w:val="true"/>
        </w:trPr>
        <w:tc>
          <w:tcPr>
            <w:tcW w:type="dxa" w:w="194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Cross-page content</w:t>
            </w:r>
          </w:p>
        </w:tc>
        <w:tc>
          <w:tcPr>
            <w:tcW w:type="dxa" w:w="511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Allow a chunk to span pages while recording the complete page range</w:t>
            </w:r>
          </w:p>
        </w:tc>
        <w:tc>
          <w:tcPr>
            <w:tcW w:type="dxa" w:w="266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Page boundaries should not break meaning</w:t>
            </w:r>
          </w:p>
        </w:tc>
      </w:tr>
    </w:tbl>
    <w:p>
      <w:pPr>
        <w:spacing w:after="20"/>
      </w:pPr>
    </w:p>
    <w:p>
      <w:pPr>
        <w:pStyle w:val="Heading2"/>
        <w:keepNext/>
      </w:pPr>
      <w:r>
        <w:rPr>
          <w:rFonts w:ascii="Aptos" w:hAnsi="Aptos"/>
          <w:b/>
          <w:color w:val="000000"/>
          <w:sz w:val="25"/>
        </w:rPr>
        <w:t>Initial Parameters to Evaluate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944"/>
            <w:shd w:fill="17365D"/>
            <w:tcMar>
              <w:top w:w="90" w:type="dxa"/>
              <w:start w:w="120" w:type="dxa"/>
              <w:bottom w:w="90" w:type="dxa"/>
              <w:end w:w="120" w:type="dxa"/>
            </w:tcMar>
            <w:vAlign w:val="center"/>
          </w:tcPr>
          <w:p>
            <w:pPr>
              <w:spacing w:after="0"/>
              <w:jc w:val="left"/>
            </w:pPr>
            <w:r>
              <w:rPr>
                <w:rFonts w:ascii="Aptos" w:hAnsi="Aptos"/>
                <w:b/>
                <w:color w:val="FFFFFF"/>
                <w:sz w:val="18"/>
              </w:rPr>
              <w:t>Parameter</w:t>
            </w:r>
          </w:p>
        </w:tc>
        <w:tc>
          <w:tcPr>
            <w:tcW w:type="dxa" w:w="4680"/>
            <w:shd w:fill="17365D"/>
            <w:tcMar>
              <w:top w:w="90" w:type="dxa"/>
              <w:start w:w="120" w:type="dxa"/>
              <w:bottom w:w="90" w:type="dxa"/>
              <w:end w:w="120" w:type="dxa"/>
            </w:tcMar>
            <w:vAlign w:val="center"/>
          </w:tcPr>
          <w:p>
            <w:pPr>
              <w:spacing w:after="0"/>
              <w:jc w:val="left"/>
            </w:pPr>
            <w:r>
              <w:rPr>
                <w:rFonts w:ascii="Aptos" w:hAnsi="Aptos"/>
                <w:b/>
                <w:color w:val="FFFFFF"/>
                <w:sz w:val="18"/>
              </w:rPr>
              <w:t>Starting position</w:t>
            </w:r>
          </w:p>
        </w:tc>
        <w:tc>
          <w:tcPr>
            <w:tcW w:type="dxa" w:w="3096"/>
            <w:shd w:fill="17365D"/>
            <w:tcMar>
              <w:top w:w="90" w:type="dxa"/>
              <w:start w:w="120" w:type="dxa"/>
              <w:bottom w:w="90" w:type="dxa"/>
              <w:end w:w="120" w:type="dxa"/>
            </w:tcMar>
            <w:vAlign w:val="center"/>
          </w:tcPr>
          <w:p>
            <w:pPr>
              <w:spacing w:after="0"/>
              <w:jc w:val="left"/>
            </w:pPr>
            <w:r>
              <w:rPr>
                <w:rFonts w:ascii="Aptos" w:hAnsi="Aptos"/>
                <w:b/>
                <w:color w:val="FFFFFF"/>
                <w:sz w:val="18"/>
              </w:rPr>
              <w:t>How it will be tuned</w:t>
            </w:r>
          </w:p>
        </w:tc>
      </w:tr>
      <w:tr>
        <w:trPr>
          <w:cantSplit w:val="true"/>
        </w:trPr>
        <w:tc>
          <w:tcPr>
            <w:tcW w:type="dxa" w:w="194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Target size</w:t>
            </w:r>
          </w:p>
        </w:tc>
        <w:tc>
          <w:tcPr>
            <w:tcW w:type="dxa" w:w="46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Approximately 350 to 700 tokens for narrative content</w:t>
            </w:r>
          </w:p>
        </w:tc>
        <w:tc>
          <w:tcPr>
            <w:tcW w:type="dxa" w:w="3096"/>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Compare Recall at 5, ranking quality, citation precision, and answer completeness</w:t>
            </w:r>
          </w:p>
        </w:tc>
      </w:tr>
      <w:tr>
        <w:trPr>
          <w:cantSplit w:val="true"/>
        </w:trPr>
        <w:tc>
          <w:tcPr>
            <w:tcW w:type="dxa" w:w="194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Maximum size</w:t>
            </w:r>
          </w:p>
        </w:tc>
        <w:tc>
          <w:tcPr>
            <w:tcW w:type="dxa" w:w="46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Approximately 1,000 tokens unless a table or tightly coupled section requires more</w:t>
            </w:r>
          </w:p>
        </w:tc>
        <w:tc>
          <w:tcPr>
            <w:tcW w:type="dxa" w:w="3096"/>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Track truncation, latency, and context efficiency</w:t>
            </w:r>
          </w:p>
        </w:tc>
      </w:tr>
      <w:tr>
        <w:trPr>
          <w:cantSplit w:val="true"/>
        </w:trPr>
        <w:tc>
          <w:tcPr>
            <w:tcW w:type="dxa" w:w="194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Overlap</w:t>
            </w:r>
          </w:p>
        </w:tc>
        <w:tc>
          <w:tcPr>
            <w:tcW w:type="dxa" w:w="46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Zero for complete structural units; limited overlap for split narrative sections</w:t>
            </w:r>
          </w:p>
        </w:tc>
        <w:tc>
          <w:tcPr>
            <w:tcW w:type="dxa" w:w="3096"/>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Retain only when it improves the golden-set results</w:t>
            </w:r>
          </w:p>
        </w:tc>
      </w:tr>
      <w:tr>
        <w:trPr>
          <w:cantSplit w:val="true"/>
        </w:trPr>
        <w:tc>
          <w:tcPr>
            <w:tcW w:type="dxa" w:w="194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Parent context</w:t>
            </w:r>
          </w:p>
        </w:tc>
        <w:tc>
          <w:tcPr>
            <w:tcW w:type="dxa" w:w="46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Attach heading path and parent identifiers as metadata; optionally prepend a compact context label to embedded text</w:t>
            </w:r>
          </w:p>
        </w:tc>
        <w:tc>
          <w:tcPr>
            <w:tcW w:type="dxa" w:w="3096"/>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Compare filtered and unfiltered retrieval</w:t>
            </w:r>
          </w:p>
        </w:tc>
      </w:tr>
      <w:tr>
        <w:trPr>
          <w:cantSplit w:val="true"/>
        </w:trPr>
        <w:tc>
          <w:tcPr>
            <w:tcW w:type="dxa" w:w="194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Table representation</w:t>
            </w:r>
          </w:p>
        </w:tc>
        <w:tc>
          <w:tcPr>
            <w:tcW w:type="dxa" w:w="46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Structured rows plus readable text</w:t>
            </w:r>
          </w:p>
        </w:tc>
        <w:tc>
          <w:tcPr>
            <w:tcW w:type="dxa" w:w="3096"/>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Evaluate questions that target specific cells, rows, and table summaries</w:t>
            </w:r>
          </w:p>
        </w:tc>
      </w:tr>
    </w:tbl>
    <w:p>
      <w:pPr>
        <w:spacing w:after="20"/>
      </w:pPr>
    </w:p>
    <w:p>
      <w:pPr>
        <w:pStyle w:val="Heading2"/>
        <w:keepNext/>
      </w:pPr>
      <w:r>
        <w:rPr>
          <w:rFonts w:ascii="Aptos" w:hAnsi="Aptos"/>
          <w:b/>
          <w:color w:val="000000"/>
          <w:sz w:val="25"/>
        </w:rPr>
        <w:t>Deterministic Chunk Identity</w:t>
      </w:r>
    </w:p>
    <w:p>
      <w:pPr>
        <w:spacing w:after="80" w:line="254" w:lineRule="auto"/>
      </w:pPr>
      <w:r>
        <w:rPr>
          <w:rFonts w:ascii="Aptos" w:hAnsi="Aptos"/>
          <w:sz w:val="20"/>
        </w:rPr>
        <w:t>Each chunk receives a stable identifier derived from the source identifier, source version, structural path, page range, and within-section sequence. A content checksum detects changes. Reprocessing creates a new chunk version and index build; it does not silently overwrite the lineage of an answer already recorded in logs or evaluation results.</w:t>
      </w:r>
    </w:p>
    <w:p>
      <w:pPr>
        <w:pStyle w:val="Heading2"/>
        <w:keepNext/>
      </w:pPr>
      <w:r>
        <w:rPr>
          <w:rFonts w:ascii="Aptos" w:hAnsi="Aptos"/>
          <w:b/>
          <w:color w:val="000000"/>
          <w:sz w:val="25"/>
        </w:rPr>
        <w:t>Chunking Failure Conditions</w:t>
      </w:r>
    </w:p>
    <w:p>
      <w:pPr>
        <w:pStyle w:val="ListBullet"/>
        <w:spacing w:after="40" w:line="250" w:lineRule="auto"/>
        <w:ind w:left="360" w:hanging="202"/>
      </w:pPr>
      <w:r>
        <w:rPr>
          <w:rFonts w:ascii="Aptos" w:hAnsi="Aptos"/>
          <w:sz w:val="20"/>
        </w:rPr>
        <w:t>A CSF identifier is separated from its outcome or parent hierarchy.</w:t>
      </w:r>
    </w:p>
    <w:p>
      <w:pPr>
        <w:pStyle w:val="ListBullet"/>
        <w:spacing w:after="40" w:line="250" w:lineRule="auto"/>
        <w:ind w:left="360" w:hanging="202"/>
      </w:pPr>
      <w:r>
        <w:rPr>
          <w:rFonts w:ascii="Aptos" w:hAnsi="Aptos"/>
          <w:sz w:val="20"/>
        </w:rPr>
        <w:t>A qualifier, exception, table header, list introduction, or version label is omitted.</w:t>
      </w:r>
    </w:p>
    <w:p>
      <w:pPr>
        <w:pStyle w:val="ListBullet"/>
        <w:spacing w:after="40" w:line="250" w:lineRule="auto"/>
        <w:ind w:left="360" w:hanging="202"/>
      </w:pPr>
      <w:r>
        <w:rPr>
          <w:rFonts w:ascii="Aptos" w:hAnsi="Aptos"/>
          <w:sz w:val="20"/>
        </w:rPr>
        <w:t>A chunk cannot be traced to the exact source version and page range.</w:t>
      </w:r>
    </w:p>
    <w:p>
      <w:pPr>
        <w:pStyle w:val="ListBullet"/>
        <w:spacing w:after="40" w:line="250" w:lineRule="auto"/>
        <w:ind w:left="360" w:hanging="202"/>
      </w:pPr>
      <w:r>
        <w:rPr>
          <w:rFonts w:ascii="Aptos" w:hAnsi="Aptos"/>
          <w:sz w:val="20"/>
        </w:rPr>
        <w:t>Overlapping chunks create duplicate evidence that dominates retrieval results.</w:t>
      </w:r>
    </w:p>
    <w:p>
      <w:pPr>
        <w:pStyle w:val="ListBullet"/>
        <w:spacing w:after="40" w:line="250" w:lineRule="auto"/>
        <w:ind w:left="360" w:hanging="202"/>
      </w:pPr>
      <w:r>
        <w:rPr>
          <w:rFonts w:ascii="Aptos" w:hAnsi="Aptos"/>
          <w:sz w:val="20"/>
        </w:rPr>
        <w:t>A chunk combines normative NIST text with lower-authority commentary without a clear label.</w:t>
      </w:r>
    </w:p>
    <w:p>
      <w:pPr>
        <w:pStyle w:val="Heading2"/>
        <w:keepNext/>
      </w:pPr>
      <w:r>
        <w:rPr>
          <w:rFonts w:ascii="Aptos" w:hAnsi="Aptos"/>
          <w:b/>
          <w:color w:val="000000"/>
          <w:sz w:val="25"/>
        </w:rPr>
        <w:t>Chunking Evaluation Evidence</w:t>
      </w:r>
    </w:p>
    <w:p>
      <w:pPr>
        <w:pStyle w:val="ListBullet"/>
        <w:spacing w:after="40" w:line="250" w:lineRule="auto"/>
        <w:ind w:left="360" w:hanging="202"/>
      </w:pPr>
      <w:r>
        <w:rPr>
          <w:rFonts w:ascii="Aptos" w:hAnsi="Aptos"/>
          <w:sz w:val="20"/>
        </w:rPr>
        <w:t>For every golden-set question, identify the chunks that must be retrieved and any near-miss chunks that should rank lower.</w:t>
      </w:r>
    </w:p>
    <w:p>
      <w:pPr>
        <w:pStyle w:val="ListBullet"/>
        <w:spacing w:after="40" w:line="250" w:lineRule="auto"/>
        <w:ind w:left="360" w:hanging="202"/>
      </w:pPr>
      <w:r>
        <w:rPr>
          <w:rFonts w:ascii="Aptos" w:hAnsi="Aptos"/>
          <w:sz w:val="20"/>
        </w:rPr>
        <w:t>Review misses by cause: extraction loss, metadata error, incorrect boundary, embedding weakness, lexical mismatch, filtering, or ranking.</w:t>
      </w:r>
    </w:p>
    <w:p>
      <w:pPr>
        <w:pStyle w:val="ListBullet"/>
        <w:spacing w:after="40" w:line="250" w:lineRule="auto"/>
        <w:ind w:left="360" w:hanging="202"/>
      </w:pPr>
      <w:r>
        <w:rPr>
          <w:rFonts w:ascii="Aptos" w:hAnsi="Aptos"/>
          <w:sz w:val="20"/>
        </w:rPr>
        <w:t>Promote a chunking change only when retrieval gains outweigh regressions and the resulting evidence remains readable and citable.</w:t>
      </w:r>
    </w:p>
    <w:p>
      <w:pPr>
        <w:pStyle w:val="Heading1"/>
        <w:keepNext/>
        <w:pageBreakBefore/>
      </w:pPr>
      <w:r>
        <w:rPr>
          <w:rFonts w:ascii="Aptos" w:hAnsi="Aptos"/>
          <w:b/>
          <w:color w:val="287D8E"/>
          <w:sz w:val="34"/>
        </w:rPr>
        <w:t xml:space="preserve">6  </w:t>
      </w:r>
      <w:r>
        <w:rPr>
          <w:rFonts w:ascii="Aptos" w:hAnsi="Aptos"/>
          <w:b/>
          <w:color w:val="000000"/>
          <w:sz w:val="34"/>
        </w:rPr>
        <w:t>Storage and Indexing Architecture</w:t>
      </w:r>
    </w:p>
    <w:p>
      <w:pPr>
        <w:spacing w:after="200"/>
      </w:pPr>
      <w:r>
        <w:rPr>
          <w:rFonts w:ascii="Aptos" w:hAnsi="Aptos"/>
          <w:i/>
          <w:color w:val="4B5563"/>
          <w:sz w:val="20"/>
        </w:rPr>
        <w:t>Where source files, working artifacts, chunks, vectors, and operational records live</w:t>
      </w:r>
    </w:p>
    <w:p>
      <w:pPr>
        <w:pStyle w:val="Heading2"/>
        <w:keepNext/>
      </w:pPr>
      <w:r>
        <w:rPr>
          <w:rFonts w:ascii="Aptos" w:hAnsi="Aptos"/>
          <w:b/>
          <w:color w:val="000000"/>
          <w:sz w:val="25"/>
        </w:rPr>
        <w:t>Storage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448"/>
            <w:shd w:fill="17365D"/>
            <w:tcMar>
              <w:top w:w="90" w:type="dxa"/>
              <w:start w:w="120" w:type="dxa"/>
              <w:bottom w:w="90" w:type="dxa"/>
              <w:end w:w="120" w:type="dxa"/>
            </w:tcMar>
            <w:vAlign w:val="center"/>
          </w:tcPr>
          <w:p>
            <w:pPr>
              <w:spacing w:after="0"/>
              <w:jc w:val="left"/>
            </w:pPr>
            <w:r>
              <w:rPr>
                <w:rFonts w:ascii="Aptos" w:hAnsi="Aptos"/>
                <w:b/>
                <w:color w:val="FFFFFF"/>
                <w:sz w:val="18"/>
              </w:rPr>
              <w:t>Store</w:t>
            </w:r>
          </w:p>
        </w:tc>
        <w:tc>
          <w:tcPr>
            <w:tcW w:type="dxa" w:w="4464"/>
            <w:shd w:fill="17365D"/>
            <w:tcMar>
              <w:top w:w="90" w:type="dxa"/>
              <w:start w:w="120" w:type="dxa"/>
              <w:bottom w:w="90" w:type="dxa"/>
              <w:end w:w="120" w:type="dxa"/>
            </w:tcMar>
            <w:vAlign w:val="center"/>
          </w:tcPr>
          <w:p>
            <w:pPr>
              <w:spacing w:after="0"/>
              <w:jc w:val="left"/>
            </w:pPr>
            <w:r>
              <w:rPr>
                <w:rFonts w:ascii="Aptos" w:hAnsi="Aptos"/>
                <w:b/>
                <w:color w:val="FFFFFF"/>
                <w:sz w:val="18"/>
              </w:rPr>
              <w:t>Content</w:t>
            </w:r>
          </w:p>
        </w:tc>
        <w:tc>
          <w:tcPr>
            <w:tcW w:type="dxa" w:w="2808"/>
            <w:shd w:fill="17365D"/>
            <w:tcMar>
              <w:top w:w="90" w:type="dxa"/>
              <w:start w:w="120" w:type="dxa"/>
              <w:bottom w:w="90" w:type="dxa"/>
              <w:end w:w="120" w:type="dxa"/>
            </w:tcMar>
            <w:vAlign w:val="center"/>
          </w:tcPr>
          <w:p>
            <w:pPr>
              <w:spacing w:after="0"/>
              <w:jc w:val="left"/>
            </w:pPr>
            <w:r>
              <w:rPr>
                <w:rFonts w:ascii="Aptos" w:hAnsi="Aptos"/>
                <w:b/>
                <w:color w:val="FFFFFF"/>
                <w:sz w:val="18"/>
              </w:rPr>
              <w:t>Key controls</w:t>
            </w:r>
          </w:p>
        </w:tc>
      </w:tr>
      <w:tr>
        <w:trPr>
          <w:cantSplit w:val="true"/>
        </w:trPr>
        <w:tc>
          <w:tcPr>
            <w:tcW w:type="dxa" w:w="244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Amazon S3 source zone</w:t>
            </w:r>
          </w:p>
        </w:tc>
        <w:tc>
          <w:tcPr>
            <w:tcW w:type="dxa" w:w="446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Original PDFs and acquisition manifests</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Versioning, immutability controls as required, checksum, encryption, restricted write access</w:t>
            </w:r>
          </w:p>
        </w:tc>
      </w:tr>
      <w:tr>
        <w:trPr>
          <w:cantSplit w:val="true"/>
        </w:trPr>
        <w:tc>
          <w:tcPr>
            <w:tcW w:type="dxa" w:w="244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Amazon S3 processing zone</w:t>
            </w:r>
          </w:p>
        </w:tc>
        <w:tc>
          <w:tcPr>
            <w:tcW w:type="dxa" w:w="446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Extraction JSON, Markdown, tables, images, exception reports, and processing manifests</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Environment separation, lifecycle policy, encryption, reproducible paths</w:t>
            </w:r>
          </w:p>
        </w:tc>
      </w:tr>
      <w:tr>
        <w:trPr>
          <w:cantSplit w:val="true"/>
        </w:trPr>
        <w:tc>
          <w:tcPr>
            <w:tcW w:type="dxa" w:w="244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Amazon S3 evaluation zone</w:t>
            </w:r>
          </w:p>
        </w:tc>
        <w:tc>
          <w:tcPr>
            <w:tcW w:type="dxa" w:w="446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Golden questions, expected evidence, test snapshots, run outputs, and reports</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Versioned datasets, release tags, restricted modification</w:t>
            </w:r>
          </w:p>
        </w:tc>
      </w:tr>
      <w:tr>
        <w:trPr>
          <w:cantSplit w:val="true"/>
        </w:trPr>
        <w:tc>
          <w:tcPr>
            <w:tcW w:type="dxa" w:w="244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Amazon OpenSearch Service</w:t>
            </w:r>
          </w:p>
        </w:tc>
        <w:tc>
          <w:tcPr>
            <w:tcW w:type="dxa" w:w="446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Chunk text, embedding vectors, lexical fields, filterable metadata, and retrieval diagnostics</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Private access, encryption, fine-grained access control, snapshots, index aliases</w:t>
            </w:r>
          </w:p>
        </w:tc>
      </w:tr>
      <w:tr>
        <w:trPr>
          <w:cantSplit w:val="true"/>
        </w:trPr>
        <w:tc>
          <w:tcPr>
            <w:tcW w:type="dxa" w:w="244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Amazon Aurora PostgreSQL</w:t>
            </w:r>
          </w:p>
        </w:tc>
        <w:tc>
          <w:tcPr>
            <w:tcW w:type="dxa" w:w="446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Source registry, jobs, versions, user feedback, conversation references, evaluation runs, and release records</w:t>
            </w:r>
          </w:p>
        </w:tc>
        <w:tc>
          <w:tcPr>
            <w:tcW w:type="dxa" w:w="280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Encryption, backups, least privilege, schema migrations, retention</w:t>
            </w:r>
          </w:p>
        </w:tc>
      </w:tr>
      <w:tr>
        <w:trPr>
          <w:cantSplit w:val="true"/>
        </w:trPr>
        <w:tc>
          <w:tcPr>
            <w:tcW w:type="dxa" w:w="244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CloudWatch and CloudTrail</w:t>
            </w:r>
          </w:p>
        </w:tc>
        <w:tc>
          <w:tcPr>
            <w:tcW w:type="dxa" w:w="446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Application telemetry, processing events, security signals, and administrative audit</w:t>
            </w:r>
          </w:p>
        </w:tc>
        <w:tc>
          <w:tcPr>
            <w:tcW w:type="dxa" w:w="280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Retention, alerting, access control, correlation identifiers</w:t>
            </w:r>
          </w:p>
        </w:tc>
      </w:tr>
    </w:tbl>
    <w:p>
      <w:pPr>
        <w:spacing w:after="20"/>
      </w:pPr>
    </w:p>
    <w:p>
      <w:pPr>
        <w:pStyle w:val="Heading2"/>
        <w:keepNext/>
      </w:pPr>
      <w:r>
        <w:rPr>
          <w:rFonts w:ascii="Aptos" w:hAnsi="Aptos"/>
          <w:b/>
          <w:color w:val="000000"/>
          <w:sz w:val="25"/>
        </w:rPr>
        <w:t>OpenSearch Chunk Index</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944"/>
            <w:shd w:fill="17365D"/>
            <w:tcMar>
              <w:top w:w="90" w:type="dxa"/>
              <w:start w:w="120" w:type="dxa"/>
              <w:bottom w:w="90" w:type="dxa"/>
              <w:end w:w="120" w:type="dxa"/>
            </w:tcMar>
            <w:vAlign w:val="center"/>
          </w:tcPr>
          <w:p>
            <w:pPr>
              <w:spacing w:after="0"/>
              <w:jc w:val="left"/>
            </w:pPr>
            <w:r>
              <w:rPr>
                <w:rFonts w:ascii="Aptos" w:hAnsi="Aptos"/>
                <w:b/>
                <w:color w:val="FFFFFF"/>
                <w:sz w:val="18"/>
              </w:rPr>
              <w:t>Field group</w:t>
            </w:r>
          </w:p>
        </w:tc>
        <w:tc>
          <w:tcPr>
            <w:tcW w:type="dxa" w:w="5112"/>
            <w:shd w:fill="17365D"/>
            <w:tcMar>
              <w:top w:w="90" w:type="dxa"/>
              <w:start w:w="120" w:type="dxa"/>
              <w:bottom w:w="90" w:type="dxa"/>
              <w:end w:w="120" w:type="dxa"/>
            </w:tcMar>
            <w:vAlign w:val="center"/>
          </w:tcPr>
          <w:p>
            <w:pPr>
              <w:spacing w:after="0"/>
              <w:jc w:val="left"/>
            </w:pPr>
            <w:r>
              <w:rPr>
                <w:rFonts w:ascii="Aptos" w:hAnsi="Aptos"/>
                <w:b/>
                <w:color w:val="FFFFFF"/>
                <w:sz w:val="18"/>
              </w:rPr>
              <w:t>Representative fields</w:t>
            </w:r>
          </w:p>
        </w:tc>
        <w:tc>
          <w:tcPr>
            <w:tcW w:type="dxa" w:w="2664"/>
            <w:shd w:fill="17365D"/>
            <w:tcMar>
              <w:top w:w="90" w:type="dxa"/>
              <w:start w:w="120" w:type="dxa"/>
              <w:bottom w:w="90" w:type="dxa"/>
              <w:end w:w="120" w:type="dxa"/>
            </w:tcMar>
            <w:vAlign w:val="center"/>
          </w:tcPr>
          <w:p>
            <w:pPr>
              <w:spacing w:after="0"/>
              <w:jc w:val="left"/>
            </w:pPr>
            <w:r>
              <w:rPr>
                <w:rFonts w:ascii="Aptos" w:hAnsi="Aptos"/>
                <w:b/>
                <w:color w:val="FFFFFF"/>
                <w:sz w:val="18"/>
              </w:rPr>
              <w:t>Search use</w:t>
            </w:r>
          </w:p>
        </w:tc>
      </w:tr>
      <w:tr>
        <w:trPr>
          <w:cantSplit w:val="true"/>
        </w:trPr>
        <w:tc>
          <w:tcPr>
            <w:tcW w:type="dxa" w:w="194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Identity</w:t>
            </w:r>
          </w:p>
        </w:tc>
        <w:tc>
          <w:tcPr>
            <w:tcW w:type="dxa" w:w="511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chunk_id, chunk_version, source_id, source_version, index_build_id</w:t>
            </w:r>
          </w:p>
        </w:tc>
        <w:tc>
          <w:tcPr>
            <w:tcW w:type="dxa" w:w="266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Traceability, deduplication, rollback</w:t>
            </w:r>
          </w:p>
        </w:tc>
      </w:tr>
      <w:tr>
        <w:trPr>
          <w:cantSplit w:val="true"/>
        </w:trPr>
        <w:tc>
          <w:tcPr>
            <w:tcW w:type="dxa" w:w="194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Text</w:t>
            </w:r>
          </w:p>
        </w:tc>
        <w:tc>
          <w:tcPr>
            <w:tcW w:type="dxa" w:w="511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chunk_text, title, heading_path, identifiers, table_text</w:t>
            </w:r>
          </w:p>
        </w:tc>
        <w:tc>
          <w:tcPr>
            <w:tcW w:type="dxa" w:w="266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BM25 lexical retrieval and answer context</w:t>
            </w:r>
          </w:p>
        </w:tc>
      </w:tr>
      <w:tr>
        <w:trPr>
          <w:cantSplit w:val="true"/>
        </w:trPr>
        <w:tc>
          <w:tcPr>
            <w:tcW w:type="dxa" w:w="194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Vector</w:t>
            </w:r>
          </w:p>
        </w:tc>
        <w:tc>
          <w:tcPr>
            <w:tcW w:type="dxa" w:w="511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passage_embedding and embedding_version</w:t>
            </w:r>
          </w:p>
        </w:tc>
        <w:tc>
          <w:tcPr>
            <w:tcW w:type="dxa" w:w="266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Semantic retrieval</w:t>
            </w:r>
          </w:p>
        </w:tc>
      </w:tr>
      <w:tr>
        <w:trPr>
          <w:cantSplit w:val="true"/>
        </w:trPr>
        <w:tc>
          <w:tcPr>
            <w:tcW w:type="dxa" w:w="194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CSF metadata</w:t>
            </w:r>
          </w:p>
        </w:tc>
        <w:tc>
          <w:tcPr>
            <w:tcW w:type="dxa" w:w="511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function, category_id, subcategory_id, resource_type</w:t>
            </w:r>
          </w:p>
        </w:tc>
        <w:tc>
          <w:tcPr>
            <w:tcW w:type="dxa" w:w="266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Exact lookup, boosting, and filters</w:t>
            </w:r>
          </w:p>
        </w:tc>
      </w:tr>
      <w:tr>
        <w:trPr>
          <w:cantSplit w:val="true"/>
        </w:trPr>
        <w:tc>
          <w:tcPr>
            <w:tcW w:type="dxa" w:w="194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Provenance</w:t>
            </w:r>
          </w:p>
        </w:tc>
        <w:tc>
          <w:tcPr>
            <w:tcW w:type="dxa" w:w="511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canonical_url, page_start, page_end, checksum, authority</w:t>
            </w:r>
          </w:p>
        </w:tc>
        <w:tc>
          <w:tcPr>
            <w:tcW w:type="dxa" w:w="266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Citation construction and validation</w:t>
            </w:r>
          </w:p>
        </w:tc>
      </w:tr>
      <w:tr>
        <w:trPr>
          <w:cantSplit w:val="true"/>
        </w:trPr>
        <w:tc>
          <w:tcPr>
            <w:tcW w:type="dxa" w:w="194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Governance</w:t>
            </w:r>
          </w:p>
        </w:tc>
        <w:tc>
          <w:tcPr>
            <w:tcW w:type="dxa" w:w="511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effective_status, access_classification, language, published_at</w:t>
            </w:r>
          </w:p>
        </w:tc>
        <w:tc>
          <w:tcPr>
            <w:tcW w:type="dxa" w:w="266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Authorization and lifecycle filtering</w:t>
            </w:r>
          </w:p>
        </w:tc>
      </w:tr>
    </w:tbl>
    <w:p>
      <w:pPr>
        <w:spacing w:after="20"/>
      </w:pPr>
    </w:p>
    <w:p>
      <w:pPr>
        <w:pStyle w:val="Heading2"/>
        <w:keepNext/>
      </w:pPr>
      <w:r>
        <w:rPr>
          <w:rFonts w:ascii="Aptos" w:hAnsi="Aptos"/>
          <w:b/>
          <w:color w:val="000000"/>
          <w:sz w:val="25"/>
        </w:rPr>
        <w:t>Index Versioning and Promotion</w:t>
      </w:r>
    </w:p>
    <w:p>
      <w:pPr>
        <w:spacing w:after="80" w:line="254" w:lineRule="auto"/>
      </w:pPr>
      <w:r>
        <w:rPr>
          <w:rFonts w:ascii="Aptos" w:hAnsi="Aptos"/>
          <w:sz w:val="20"/>
        </w:rPr>
        <w:t>Every full or partial index build receives an immutable build identifier that records the source manifest, chunking version, embedding model, mappings, and search pipeline. A staging alias is evaluated first. After the required evaluation suite passes, the production alias moves atomically to the new index. The prior index remains available for rollback during the defined retention period.</w:t>
      </w:r>
    </w:p>
    <w:p>
      <w:pPr>
        <w:pStyle w:val="Heading2"/>
        <w:keepNext/>
      </w:pPr>
      <w:r>
        <w:rPr>
          <w:rFonts w:ascii="Aptos" w:hAnsi="Aptos"/>
          <w:b/>
          <w:color w:val="000000"/>
          <w:sz w:val="25"/>
        </w:rPr>
        <w:t>Embedding Design</w:t>
      </w:r>
    </w:p>
    <w:p>
      <w:pPr>
        <w:spacing w:after="80" w:line="254" w:lineRule="auto"/>
      </w:pPr>
      <w:r>
        <w:rPr>
          <w:rFonts w:ascii="Aptos" w:hAnsi="Aptos"/>
          <w:sz w:val="20"/>
        </w:rPr>
        <w:t>The initial embedding candidate is Amazon Titan Text Embeddings V2, with the output dimension selected through relevance, storage, latency, and cost testing. The model supports multiple vector sizes, so dimension is a design parameter rather than a hard-coded assumption. Embedded text may include a compact structural prefix, such as the document title and heading path, when the retrieval evaluation shows a measurable benefit.</w:t>
      </w:r>
    </w:p>
    <w:p>
      <w:pPr>
        <w:pStyle w:val="Heading2"/>
        <w:keepNext/>
      </w:pPr>
      <w:r>
        <w:rPr>
          <w:rFonts w:ascii="Aptos" w:hAnsi="Aptos"/>
          <w:b/>
          <w:color w:val="000000"/>
          <w:sz w:val="25"/>
        </w:rPr>
        <w:t>Data Lifecycle and Rebuild</w:t>
      </w:r>
    </w:p>
    <w:p>
      <w:pPr>
        <w:pStyle w:val="ListBullet"/>
        <w:spacing w:after="40" w:line="250" w:lineRule="auto"/>
        <w:ind w:left="360" w:hanging="202"/>
      </w:pPr>
      <w:r>
        <w:rPr>
          <w:rFonts w:ascii="Aptos" w:hAnsi="Aptos"/>
          <w:sz w:val="20"/>
        </w:rPr>
        <w:t>Treat vector indexes as reproducible derivatives; the registered source, curated artifacts, manifests, schemas, and configurations are the rebuild authority.</w:t>
      </w:r>
    </w:p>
    <w:p>
      <w:pPr>
        <w:pStyle w:val="ListBullet"/>
        <w:spacing w:after="40" w:line="250" w:lineRule="auto"/>
        <w:ind w:left="360" w:hanging="202"/>
      </w:pPr>
      <w:r>
        <w:rPr>
          <w:rFonts w:ascii="Aptos" w:hAnsi="Aptos"/>
          <w:sz w:val="20"/>
        </w:rPr>
        <w:t>Use environment-specific index aliases and prevent direct production writes outside the controlled promotion workflow.</w:t>
      </w:r>
    </w:p>
    <w:p>
      <w:pPr>
        <w:pStyle w:val="ListBullet"/>
        <w:spacing w:after="40" w:line="250" w:lineRule="auto"/>
        <w:ind w:left="360" w:hanging="202"/>
      </w:pPr>
      <w:r>
        <w:rPr>
          <w:rFonts w:ascii="Aptos" w:hAnsi="Aptos"/>
          <w:sz w:val="20"/>
        </w:rPr>
        <w:t>Retain prior qualified index builds long enough to support rollback, incident analysis, and comparison of evaluation results.</w:t>
      </w:r>
    </w:p>
    <w:p>
      <w:pPr>
        <w:pStyle w:val="ListBullet"/>
        <w:spacing w:after="40" w:line="250" w:lineRule="auto"/>
        <w:ind w:left="360" w:hanging="202"/>
      </w:pPr>
      <w:r>
        <w:rPr>
          <w:rFonts w:ascii="Aptos" w:hAnsi="Aptos"/>
          <w:sz w:val="20"/>
        </w:rPr>
        <w:t>Apply lifecycle and retention rules separately to source artifacts, processing outputs, evaluation evidence, telemetry, and user conversation records.</w:t>
      </w:r>
    </w:p>
    <w:p>
      <w:pPr>
        <w:pStyle w:val="Heading1"/>
        <w:keepNext/>
        <w:pageBreakBefore/>
      </w:pPr>
      <w:r>
        <w:rPr>
          <w:rFonts w:ascii="Aptos" w:hAnsi="Aptos"/>
          <w:b/>
          <w:color w:val="287D8E"/>
          <w:sz w:val="34"/>
        </w:rPr>
        <w:t xml:space="preserve">7  </w:t>
      </w:r>
      <w:r>
        <w:rPr>
          <w:rFonts w:ascii="Aptos" w:hAnsi="Aptos"/>
          <w:b/>
          <w:color w:val="000000"/>
          <w:sz w:val="34"/>
        </w:rPr>
        <w:t>Retrieval and Reranking Architecture</w:t>
      </w:r>
    </w:p>
    <w:p>
      <w:pPr>
        <w:spacing w:after="200"/>
      </w:pPr>
      <w:r>
        <w:rPr>
          <w:rFonts w:ascii="Aptos" w:hAnsi="Aptos"/>
          <w:i/>
          <w:color w:val="4B5563"/>
          <w:sz w:val="20"/>
        </w:rPr>
        <w:t>Finding the right CSF evidence before asking the model to answer</w:t>
      </w:r>
    </w:p>
    <w:p>
      <w:pPr>
        <w:pStyle w:val="Heading2"/>
        <w:keepNext/>
      </w:pPr>
      <w:r>
        <w:rPr>
          <w:rFonts w:ascii="Aptos" w:hAnsi="Aptos"/>
          <w:b/>
          <w:color w:val="000000"/>
          <w:sz w:val="25"/>
        </w:rPr>
        <w:t>Retrieval Pipeline</w:t>
      </w:r>
    </w:p>
    <w:p>
      <w:pPr>
        <w:spacing w:after="60" w:line="250" w:lineRule="auto"/>
        <w:ind w:left="403" w:hanging="259"/>
      </w:pPr>
      <w:r>
        <w:rPr>
          <w:rFonts w:ascii="Aptos" w:hAnsi="Aptos"/>
          <w:sz w:val="20"/>
        </w:rPr>
        <w:t>1. Normalize the question and detect exact CSF identifiers, requested version, Function, Category, resource type, and answer intent.</w:t>
      </w:r>
    </w:p>
    <w:p>
      <w:pPr>
        <w:spacing w:after="60" w:line="250" w:lineRule="auto"/>
        <w:ind w:left="403" w:hanging="259"/>
      </w:pPr>
      <w:r>
        <w:rPr>
          <w:rFonts w:ascii="Aptos" w:hAnsi="Aptos"/>
          <w:sz w:val="20"/>
        </w:rPr>
        <w:t>2. Apply access, active-version, language, and any explicit metadata filters before ranking.</w:t>
      </w:r>
    </w:p>
    <w:p>
      <w:pPr>
        <w:spacing w:after="60" w:line="250" w:lineRule="auto"/>
        <w:ind w:left="403" w:hanging="259"/>
      </w:pPr>
      <w:r>
        <w:rPr>
          <w:rFonts w:ascii="Aptos" w:hAnsi="Aptos"/>
          <w:sz w:val="20"/>
        </w:rPr>
        <w:t>3. Run lexical BM25 retrieval for identifiers and exact terminology and vector retrieval for semantic similarity.</w:t>
      </w:r>
    </w:p>
    <w:p>
      <w:pPr>
        <w:spacing w:after="60" w:line="250" w:lineRule="auto"/>
        <w:ind w:left="403" w:hanging="259"/>
      </w:pPr>
      <w:r>
        <w:rPr>
          <w:rFonts w:ascii="Aptos" w:hAnsi="Aptos"/>
          <w:sz w:val="20"/>
        </w:rPr>
        <w:t>4. Fuse the result sets using reciprocal rank fusion as the initial baseline, then compare score normalization and weighting against the golden set.</w:t>
      </w:r>
    </w:p>
    <w:p>
      <w:pPr>
        <w:spacing w:after="60" w:line="250" w:lineRule="auto"/>
        <w:ind w:left="403" w:hanging="259"/>
      </w:pPr>
      <w:r>
        <w:rPr>
          <w:rFonts w:ascii="Aptos" w:hAnsi="Aptos"/>
          <w:sz w:val="20"/>
        </w:rPr>
        <w:t>5. Deduplicate identical or substantially overlapping chunks and preserve the strongest provenance record.</w:t>
      </w:r>
    </w:p>
    <w:p>
      <w:pPr>
        <w:spacing w:after="60" w:line="250" w:lineRule="auto"/>
        <w:ind w:left="403" w:hanging="259"/>
      </w:pPr>
      <w:r>
        <w:rPr>
          <w:rFonts w:ascii="Aptos" w:hAnsi="Aptos"/>
          <w:sz w:val="20"/>
        </w:rPr>
        <w:t>6. Rerank the candidate set using a validated reranker or constrained relevance model.</w:t>
      </w:r>
    </w:p>
    <w:p>
      <w:pPr>
        <w:spacing w:after="60" w:line="250" w:lineRule="auto"/>
        <w:ind w:left="403" w:hanging="259"/>
      </w:pPr>
      <w:r>
        <w:rPr>
          <w:rFonts w:ascii="Aptos" w:hAnsi="Aptos"/>
          <w:sz w:val="20"/>
        </w:rPr>
        <w:t>7. Apply minimum-evidence rules and assemble the smallest context set that covers the question without unnecessary duplication.</w:t>
      </w:r>
    </w:p>
    <w:p>
      <w:pPr>
        <w:spacing w:after="60" w:line="250" w:lineRule="auto"/>
        <w:ind w:left="403" w:hanging="259"/>
      </w:pPr>
      <w:r>
        <w:rPr>
          <w:rFonts w:ascii="Aptos" w:hAnsi="Aptos"/>
          <w:sz w:val="20"/>
        </w:rPr>
        <w:t>8. Return the selected chunks, scores, retrieval explanations, and lineage to the answer service and evaluation recorder.</w:t>
      </w:r>
    </w:p>
    <w:p>
      <w:pPr>
        <w:pStyle w:val="Heading2"/>
        <w:keepNext/>
      </w:pPr>
      <w:r>
        <w:rPr>
          <w:rFonts w:ascii="Aptos" w:hAnsi="Aptos"/>
          <w:b/>
          <w:color w:val="000000"/>
          <w:sz w:val="25"/>
        </w:rPr>
        <w:t>Retrieval Defaults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015"/>
            <w:shd w:fill="17365D"/>
            <w:tcMar>
              <w:top w:w="90" w:type="dxa"/>
              <w:start w:w="120" w:type="dxa"/>
              <w:bottom w:w="90" w:type="dxa"/>
              <w:end w:w="120" w:type="dxa"/>
            </w:tcMar>
            <w:vAlign w:val="center"/>
          </w:tcPr>
          <w:p>
            <w:pPr>
              <w:spacing w:after="0"/>
              <w:jc w:val="left"/>
            </w:pPr>
            <w:r>
              <w:rPr>
                <w:rFonts w:ascii="Aptos" w:hAnsi="Aptos"/>
                <w:b/>
                <w:color w:val="FFFFFF"/>
                <w:sz w:val="18"/>
              </w:rPr>
              <w:t>Control</w:t>
            </w:r>
          </w:p>
        </w:tc>
        <w:tc>
          <w:tcPr>
            <w:tcW w:type="dxa" w:w="4824"/>
            <w:shd w:fill="17365D"/>
            <w:tcMar>
              <w:top w:w="90" w:type="dxa"/>
              <w:start w:w="120" w:type="dxa"/>
              <w:bottom w:w="90" w:type="dxa"/>
              <w:end w:w="120" w:type="dxa"/>
            </w:tcMar>
            <w:vAlign w:val="center"/>
          </w:tcPr>
          <w:p>
            <w:pPr>
              <w:spacing w:after="0"/>
              <w:jc w:val="left"/>
            </w:pPr>
            <w:r>
              <w:rPr>
                <w:rFonts w:ascii="Aptos" w:hAnsi="Aptos"/>
                <w:b/>
                <w:color w:val="FFFFFF"/>
                <w:sz w:val="18"/>
              </w:rPr>
              <w:t>Initial design</w:t>
            </w:r>
          </w:p>
        </w:tc>
        <w:tc>
          <w:tcPr>
            <w:tcW w:type="dxa" w:w="2880"/>
            <w:shd w:fill="17365D"/>
            <w:tcMar>
              <w:top w:w="90" w:type="dxa"/>
              <w:start w:w="120" w:type="dxa"/>
              <w:bottom w:w="90" w:type="dxa"/>
              <w:end w:w="120" w:type="dxa"/>
            </w:tcMar>
            <w:vAlign w:val="center"/>
          </w:tcPr>
          <w:p>
            <w:pPr>
              <w:spacing w:after="0"/>
              <w:jc w:val="left"/>
            </w:pPr>
            <w:r>
              <w:rPr>
                <w:rFonts w:ascii="Aptos" w:hAnsi="Aptos"/>
                <w:b/>
                <w:color w:val="FFFFFF"/>
                <w:sz w:val="18"/>
              </w:rPr>
              <w:t>Evaluation question</w:t>
            </w:r>
          </w:p>
        </w:tc>
      </w:tr>
      <w:tr>
        <w:trPr>
          <w:cantSplit w:val="true"/>
        </w:trPr>
        <w:tc>
          <w:tcPr>
            <w:tcW w:type="dxa" w:w="2015"/>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Candidate depth</w:t>
            </w:r>
          </w:p>
        </w:tc>
        <w:tc>
          <w:tcPr>
            <w:tcW w:type="dxa" w:w="482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Retrieve a broader candidate pool from lexical and vector search before reranking</w:t>
            </w:r>
          </w:p>
        </w:tc>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Does additional depth improve Recall at 5 without excessive latency</w:t>
            </w:r>
          </w:p>
        </w:tc>
      </w:tr>
      <w:tr>
        <w:trPr>
          <w:cantSplit w:val="true"/>
        </w:trPr>
        <w:tc>
          <w:tcPr>
            <w:tcW w:type="dxa" w:w="2015"/>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Fusion</w:t>
            </w:r>
          </w:p>
        </w:tc>
        <w:tc>
          <w:tcPr>
            <w:tcW w:type="dxa" w:w="482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Start with reciprocal rank fusion because lexical and vector scores are not naturally comparable</w:t>
            </w:r>
          </w:p>
        </w:tc>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Does RRF outperform tuned score normalization for the 50-question set</w:t>
            </w:r>
          </w:p>
        </w:tc>
      </w:tr>
      <w:tr>
        <w:trPr>
          <w:cantSplit w:val="true"/>
        </w:trPr>
        <w:tc>
          <w:tcPr>
            <w:tcW w:type="dxa" w:w="2015"/>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Exact identifiers</w:t>
            </w:r>
          </w:p>
        </w:tc>
        <w:tc>
          <w:tcPr>
            <w:tcW w:type="dxa" w:w="482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Boost exact category and subcategory identifier matches</w:t>
            </w:r>
          </w:p>
        </w:tc>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Are identifier questions consistently ranked first</w:t>
            </w:r>
          </w:p>
        </w:tc>
      </w:tr>
      <w:tr>
        <w:trPr>
          <w:cantSplit w:val="true"/>
        </w:trPr>
        <w:tc>
          <w:tcPr>
            <w:tcW w:type="dxa" w:w="2015"/>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Authority</w:t>
            </w:r>
          </w:p>
        </w:tc>
        <w:tc>
          <w:tcPr>
            <w:tcW w:type="dxa" w:w="482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Boost official Core text over explanatory resources when relevance is otherwise similar</w:t>
            </w:r>
          </w:p>
        </w:tc>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Does authority boosting improve citation quality without hiding useful context</w:t>
            </w:r>
          </w:p>
        </w:tc>
      </w:tr>
      <w:tr>
        <w:trPr>
          <w:cantSplit w:val="true"/>
        </w:trPr>
        <w:tc>
          <w:tcPr>
            <w:tcW w:type="dxa" w:w="2015"/>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Context diversity</w:t>
            </w:r>
          </w:p>
        </w:tc>
        <w:tc>
          <w:tcPr>
            <w:tcW w:type="dxa" w:w="482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Limit near-duplicate chunks and encourage coverage from distinct relevant passages</w:t>
            </w:r>
          </w:p>
        </w:tc>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Does the selected context cover multi-part questions</w:t>
            </w:r>
          </w:p>
        </w:tc>
      </w:tr>
      <w:tr>
        <w:trPr>
          <w:cantSplit w:val="true"/>
        </w:trPr>
        <w:tc>
          <w:tcPr>
            <w:tcW w:type="dxa" w:w="2015"/>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Evidence threshold</w:t>
            </w:r>
          </w:p>
        </w:tc>
        <w:tc>
          <w:tcPr>
            <w:tcW w:type="dxa" w:w="482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Decline generation when no candidate meets the validated relevance requirement</w:t>
            </w:r>
          </w:p>
        </w:tc>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Does the system refuse unsupported questions without excessive false refusals</w:t>
            </w:r>
          </w:p>
        </w:tc>
      </w:tr>
    </w:tbl>
    <w:p>
      <w:pPr>
        <w:spacing w:after="20"/>
      </w:pPr>
    </w:p>
    <w:p>
      <w:pPr>
        <w:pStyle w:val="Heading2"/>
        <w:keepNext/>
      </w:pPr>
      <w:r>
        <w:rPr>
          <w:rFonts w:ascii="Aptos" w:hAnsi="Aptos"/>
          <w:b/>
          <w:color w:val="000000"/>
          <w:sz w:val="25"/>
        </w:rPr>
        <w:t>Retrieval Response Contract</w:t>
      </w:r>
    </w:p>
    <w:p>
      <w:pPr>
        <w:pStyle w:val="ListBullet"/>
        <w:spacing w:after="40" w:line="250" w:lineRule="auto"/>
        <w:ind w:left="360" w:hanging="202"/>
      </w:pPr>
      <w:r>
        <w:rPr>
          <w:rFonts w:ascii="Aptos" w:hAnsi="Aptos"/>
          <w:sz w:val="20"/>
        </w:rPr>
        <w:t>Return stable chunk identifiers, source and version, page range, heading path, authority, raw scores, fused rank, rerank score, and selected status.</w:t>
      </w:r>
    </w:p>
    <w:p>
      <w:pPr>
        <w:pStyle w:val="ListBullet"/>
        <w:spacing w:after="40" w:line="250" w:lineRule="auto"/>
        <w:ind w:left="360" w:hanging="202"/>
      </w:pPr>
      <w:r>
        <w:rPr>
          <w:rFonts w:ascii="Aptos" w:hAnsi="Aptos"/>
          <w:sz w:val="20"/>
        </w:rPr>
        <w:t>Record which filters and boosts were applied so a result can be reproduced.</w:t>
      </w:r>
    </w:p>
    <w:p>
      <w:pPr>
        <w:pStyle w:val="ListBullet"/>
        <w:spacing w:after="40" w:line="250" w:lineRule="auto"/>
        <w:ind w:left="360" w:hanging="202"/>
      </w:pPr>
      <w:r>
        <w:rPr>
          <w:rFonts w:ascii="Aptos" w:hAnsi="Aptos"/>
          <w:sz w:val="20"/>
        </w:rPr>
        <w:t>Keep retrieved evidence separate from model instructions and escape or delimit it as untrusted source content.</w:t>
      </w:r>
    </w:p>
    <w:p>
      <w:pPr>
        <w:pStyle w:val="ListBullet"/>
        <w:spacing w:after="40" w:line="250" w:lineRule="auto"/>
        <w:ind w:left="360" w:hanging="202"/>
      </w:pPr>
      <w:r>
        <w:rPr>
          <w:rFonts w:ascii="Aptos" w:hAnsi="Aptos"/>
          <w:sz w:val="20"/>
        </w:rPr>
        <w:t>Expose retrieval diagnostics to administrators and evaluators, not necessarily to ordinary users.</w:t>
      </w:r>
    </w:p>
    <w:p>
      <w:pPr>
        <w:pStyle w:val="Heading1"/>
        <w:keepNext/>
        <w:pageBreakBefore/>
      </w:pPr>
      <w:r>
        <w:rPr>
          <w:rFonts w:ascii="Aptos" w:hAnsi="Aptos"/>
          <w:b/>
          <w:color w:val="287D8E"/>
          <w:sz w:val="34"/>
        </w:rPr>
        <w:t xml:space="preserve">8  </w:t>
      </w:r>
      <w:r>
        <w:rPr>
          <w:rFonts w:ascii="Aptos" w:hAnsi="Aptos"/>
          <w:b/>
          <w:color w:val="000000"/>
          <w:sz w:val="34"/>
        </w:rPr>
        <w:t>Answer Generation Citations and Guardrails</w:t>
      </w:r>
    </w:p>
    <w:p>
      <w:pPr>
        <w:spacing w:after="200"/>
      </w:pPr>
      <w:r>
        <w:rPr>
          <w:rFonts w:ascii="Aptos" w:hAnsi="Aptos"/>
          <w:i/>
          <w:color w:val="4B5563"/>
          <w:sz w:val="20"/>
        </w:rPr>
        <w:t>Turning selected evidence into a useful response without exceeding it</w:t>
      </w:r>
    </w:p>
    <w:p>
      <w:pPr>
        <w:pStyle w:val="Heading2"/>
        <w:keepNext/>
      </w:pPr>
      <w:r>
        <w:rPr>
          <w:rFonts w:ascii="Aptos" w:hAnsi="Aptos"/>
          <w:b/>
          <w:color w:val="000000"/>
          <w:sz w:val="25"/>
        </w:rPr>
        <w:t>Answer Contract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088"/>
            <w:shd w:fill="17365D"/>
            <w:tcMar>
              <w:top w:w="90" w:type="dxa"/>
              <w:start w:w="120" w:type="dxa"/>
              <w:bottom w:w="90" w:type="dxa"/>
              <w:end w:w="120" w:type="dxa"/>
            </w:tcMar>
            <w:vAlign w:val="center"/>
          </w:tcPr>
          <w:p>
            <w:pPr>
              <w:spacing w:after="0"/>
              <w:jc w:val="left"/>
            </w:pPr>
            <w:r>
              <w:rPr>
                <w:rFonts w:ascii="Aptos" w:hAnsi="Aptos"/>
                <w:b/>
                <w:color w:val="FFFFFF"/>
                <w:sz w:val="18"/>
              </w:rPr>
              <w:t>Element</w:t>
            </w:r>
          </w:p>
        </w:tc>
        <w:tc>
          <w:tcPr>
            <w:tcW w:type="dxa" w:w="7632"/>
            <w:shd w:fill="17365D"/>
            <w:tcMar>
              <w:top w:w="90" w:type="dxa"/>
              <w:start w:w="120" w:type="dxa"/>
              <w:bottom w:w="90" w:type="dxa"/>
              <w:end w:w="120" w:type="dxa"/>
            </w:tcMar>
            <w:vAlign w:val="center"/>
          </w:tcPr>
          <w:p>
            <w:pPr>
              <w:spacing w:after="0"/>
              <w:jc w:val="left"/>
            </w:pPr>
            <w:r>
              <w:rPr>
                <w:rFonts w:ascii="Aptos" w:hAnsi="Aptos"/>
                <w:b/>
                <w:color w:val="FFFFFF"/>
                <w:sz w:val="18"/>
              </w:rPr>
              <w:t>Required behavior</w:t>
            </w:r>
          </w:p>
        </w:tc>
      </w:tr>
      <w:tr>
        <w:trPr>
          <w:cantSplit w:val="true"/>
        </w:trPr>
        <w:tc>
          <w:tcPr>
            <w:tcW w:type="dxa" w:w="2088"/>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Direct answer</w:t>
            </w:r>
          </w:p>
        </w:tc>
        <w:tc>
          <w:tcPr>
            <w:tcW w:type="dxa" w:w="7632"/>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Answer the question in clear language before adding supporting detail</w:t>
            </w:r>
          </w:p>
        </w:tc>
      </w:tr>
      <w:tr>
        <w:trPr>
          <w:cantSplit w:val="true"/>
        </w:trPr>
        <w:tc>
          <w:tcPr>
            <w:tcW w:type="dxa" w:w="2088"/>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Evidence boundary</w:t>
            </w:r>
          </w:p>
        </w:tc>
        <w:tc>
          <w:tcPr>
            <w:tcW w:type="dxa" w:w="7632"/>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Use only the supplied retrieved passages for substantive NIST CSF claims</w:t>
            </w:r>
          </w:p>
        </w:tc>
      </w:tr>
      <w:tr>
        <w:trPr>
          <w:cantSplit w:val="true"/>
        </w:trPr>
        <w:tc>
          <w:tcPr>
            <w:tcW w:type="dxa" w:w="2088"/>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Citations</w:t>
            </w:r>
          </w:p>
        </w:tc>
        <w:tc>
          <w:tcPr>
            <w:tcW w:type="dxa" w:w="7632"/>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Attach a source reference to every substantive claim and expose the exact supporting excerpt</w:t>
            </w:r>
          </w:p>
        </w:tc>
      </w:tr>
      <w:tr>
        <w:trPr>
          <w:cantSplit w:val="true"/>
        </w:trPr>
        <w:tc>
          <w:tcPr>
            <w:tcW w:type="dxa" w:w="2088"/>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Authority label</w:t>
            </w:r>
          </w:p>
        </w:tc>
        <w:tc>
          <w:tcPr>
            <w:tcW w:type="dxa" w:w="7632"/>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Distinguish official framework text, explanatory NIST material, and product-generated synthesis</w:t>
            </w:r>
          </w:p>
        </w:tc>
      </w:tr>
      <w:tr>
        <w:trPr>
          <w:cantSplit w:val="true"/>
        </w:trPr>
        <w:tc>
          <w:tcPr>
            <w:tcW w:type="dxa" w:w="2088"/>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Version label</w:t>
            </w:r>
          </w:p>
        </w:tc>
        <w:tc>
          <w:tcPr>
            <w:tcW w:type="dxa" w:w="7632"/>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State the applicable CSF or document version when material to the answer</w:t>
            </w:r>
          </w:p>
        </w:tc>
      </w:tr>
      <w:tr>
        <w:trPr>
          <w:cantSplit w:val="true"/>
        </w:trPr>
        <w:tc>
          <w:tcPr>
            <w:tcW w:type="dxa" w:w="2088"/>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Uncertainty</w:t>
            </w:r>
          </w:p>
        </w:tc>
        <w:tc>
          <w:tcPr>
            <w:tcW w:type="dxa" w:w="7632"/>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Explain when evidence is incomplete, conflicting, ambiguous, or outside the governed corpus</w:t>
            </w:r>
          </w:p>
        </w:tc>
      </w:tr>
      <w:tr>
        <w:trPr>
          <w:cantSplit w:val="true"/>
        </w:trPr>
        <w:tc>
          <w:tcPr>
            <w:tcW w:type="dxa" w:w="2088"/>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Prohibited conclusions</w:t>
            </w:r>
          </w:p>
        </w:tc>
        <w:tc>
          <w:tcPr>
            <w:tcW w:type="dxa" w:w="7632"/>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Do not certify compliance, issue audit conclusions, provide legal advice, or infer organizational control effectiveness without evidence</w:t>
            </w:r>
          </w:p>
        </w:tc>
      </w:tr>
    </w:tbl>
    <w:p>
      <w:pPr>
        <w:spacing w:after="20"/>
      </w:pPr>
    </w:p>
    <w:p>
      <w:pPr>
        <w:pStyle w:val="Heading2"/>
        <w:keepNext/>
      </w:pPr>
      <w:r>
        <w:rPr>
          <w:rFonts w:ascii="Aptos" w:hAnsi="Aptos"/>
          <w:b/>
          <w:color w:val="000000"/>
          <w:sz w:val="25"/>
        </w:rPr>
        <w:t>Generation Sequence</w:t>
      </w:r>
    </w:p>
    <w:p>
      <w:pPr>
        <w:spacing w:after="60" w:line="250" w:lineRule="auto"/>
        <w:ind w:left="403" w:hanging="259"/>
      </w:pPr>
      <w:r>
        <w:rPr>
          <w:rFonts w:ascii="Aptos" w:hAnsi="Aptos"/>
          <w:sz w:val="20"/>
        </w:rPr>
        <w:t>1. Construct a system instruction that defines role, evidence limits, citation format, refusal behavior, and prohibited claims.</w:t>
      </w:r>
    </w:p>
    <w:p>
      <w:pPr>
        <w:spacing w:after="60" w:line="250" w:lineRule="auto"/>
        <w:ind w:left="403" w:hanging="259"/>
      </w:pPr>
      <w:r>
        <w:rPr>
          <w:rFonts w:ascii="Aptos" w:hAnsi="Aptos"/>
          <w:sz w:val="20"/>
        </w:rPr>
        <w:t>2. Add the normalized user question and the selected evidence in strongly delimited content blocks.</w:t>
      </w:r>
    </w:p>
    <w:p>
      <w:pPr>
        <w:spacing w:after="60" w:line="250" w:lineRule="auto"/>
        <w:ind w:left="403" w:hanging="259"/>
      </w:pPr>
      <w:r>
        <w:rPr>
          <w:rFonts w:ascii="Aptos" w:hAnsi="Aptos"/>
          <w:sz w:val="20"/>
        </w:rPr>
        <w:t>3. Invoke the approved Bedrock model with bounded output length and the versioned guardrail configuration.</w:t>
      </w:r>
    </w:p>
    <w:p>
      <w:pPr>
        <w:spacing w:after="60" w:line="250" w:lineRule="auto"/>
        <w:ind w:left="403" w:hanging="259"/>
      </w:pPr>
      <w:r>
        <w:rPr>
          <w:rFonts w:ascii="Aptos" w:hAnsi="Aptos"/>
          <w:sz w:val="20"/>
        </w:rPr>
        <w:t>4. Parse the answer into claims and citations; reject unknown chunk identifiers or citations that do not resolve to the selected context.</w:t>
      </w:r>
    </w:p>
    <w:p>
      <w:pPr>
        <w:spacing w:after="60" w:line="250" w:lineRule="auto"/>
        <w:ind w:left="403" w:hanging="259"/>
      </w:pPr>
      <w:r>
        <w:rPr>
          <w:rFonts w:ascii="Aptos" w:hAnsi="Aptos"/>
          <w:sz w:val="20"/>
        </w:rPr>
        <w:t>5. Apply groundedness, sensitive-information, denied-topic, and content-safety checks as configured.</w:t>
      </w:r>
    </w:p>
    <w:p>
      <w:pPr>
        <w:spacing w:after="60" w:line="250" w:lineRule="auto"/>
        <w:ind w:left="403" w:hanging="259"/>
      </w:pPr>
      <w:r>
        <w:rPr>
          <w:rFonts w:ascii="Aptos" w:hAnsi="Aptos"/>
          <w:sz w:val="20"/>
        </w:rPr>
        <w:t>6. Return the answer when validations pass; otherwise rewrite once under controlled rules or provide a safe refusal.</w:t>
      </w:r>
    </w:p>
    <w:p>
      <w:pPr>
        <w:pStyle w:val="Heading2"/>
        <w:keepNext/>
      </w:pPr>
      <w:r>
        <w:rPr>
          <w:rFonts w:ascii="Aptos" w:hAnsi="Aptos"/>
          <w:b/>
          <w:color w:val="000000"/>
          <w:sz w:val="25"/>
        </w:rPr>
        <w:t>Citation Construction</w:t>
      </w:r>
    </w:p>
    <w:p>
      <w:pPr>
        <w:spacing w:after="80" w:line="254" w:lineRule="auto"/>
      </w:pPr>
      <w:r>
        <w:rPr>
          <w:rFonts w:ascii="Aptos" w:hAnsi="Aptos"/>
          <w:sz w:val="20"/>
        </w:rPr>
        <w:t>The model will cite stable chunk identifiers, but the application will construct the user-visible citation from trusted metadata. A citation includes source title, version, CSF identifier when present, page or section, and a link to an authorized source view. The cited excerpt is retrieved from the stored chunk rather than copied back from the model response.</w:t>
      </w:r>
    </w:p>
    <w:p>
      <w:pPr>
        <w:pStyle w:val="Heading2"/>
        <w:keepNext/>
      </w:pPr>
      <w:r>
        <w:rPr>
          <w:rFonts w:ascii="Aptos" w:hAnsi="Aptos"/>
          <w:b/>
          <w:color w:val="000000"/>
          <w:sz w:val="25"/>
        </w:rPr>
        <w:t>Guardrail Layers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944"/>
            <w:shd w:fill="17365D"/>
            <w:tcMar>
              <w:top w:w="90" w:type="dxa"/>
              <w:start w:w="120" w:type="dxa"/>
              <w:bottom w:w="90" w:type="dxa"/>
              <w:end w:w="120" w:type="dxa"/>
            </w:tcMar>
            <w:vAlign w:val="center"/>
          </w:tcPr>
          <w:p>
            <w:pPr>
              <w:spacing w:after="0"/>
              <w:jc w:val="left"/>
            </w:pPr>
            <w:r>
              <w:rPr>
                <w:rFonts w:ascii="Aptos" w:hAnsi="Aptos"/>
                <w:b/>
                <w:color w:val="FFFFFF"/>
                <w:sz w:val="18"/>
              </w:rPr>
              <w:t>Layer</w:t>
            </w:r>
          </w:p>
        </w:tc>
        <w:tc>
          <w:tcPr>
            <w:tcW w:type="dxa" w:w="3528"/>
            <w:shd w:fill="17365D"/>
            <w:tcMar>
              <w:top w:w="90" w:type="dxa"/>
              <w:start w:w="120" w:type="dxa"/>
              <w:bottom w:w="90" w:type="dxa"/>
              <w:end w:w="120" w:type="dxa"/>
            </w:tcMar>
            <w:vAlign w:val="center"/>
          </w:tcPr>
          <w:p>
            <w:pPr>
              <w:spacing w:after="0"/>
              <w:jc w:val="left"/>
            </w:pPr>
            <w:r>
              <w:rPr>
                <w:rFonts w:ascii="Aptos" w:hAnsi="Aptos"/>
                <w:b/>
                <w:color w:val="FFFFFF"/>
                <w:sz w:val="18"/>
              </w:rPr>
              <w:t>Purpose</w:t>
            </w:r>
          </w:p>
        </w:tc>
        <w:tc>
          <w:tcPr>
            <w:tcW w:type="dxa" w:w="4248"/>
            <w:shd w:fill="17365D"/>
            <w:tcMar>
              <w:top w:w="90" w:type="dxa"/>
              <w:start w:w="120" w:type="dxa"/>
              <w:bottom w:w="90" w:type="dxa"/>
              <w:end w:w="120" w:type="dxa"/>
            </w:tcMar>
            <w:vAlign w:val="center"/>
          </w:tcPr>
          <w:p>
            <w:pPr>
              <w:spacing w:after="0"/>
              <w:jc w:val="left"/>
            </w:pPr>
            <w:r>
              <w:rPr>
                <w:rFonts w:ascii="Aptos" w:hAnsi="Aptos"/>
                <w:b/>
                <w:color w:val="FFFFFF"/>
                <w:sz w:val="18"/>
              </w:rPr>
              <w:t>Examples</w:t>
            </w:r>
          </w:p>
        </w:tc>
      </w:tr>
      <w:tr>
        <w:trPr>
          <w:cantSplit w:val="true"/>
        </w:trPr>
        <w:tc>
          <w:tcPr>
            <w:tcW w:type="dxa" w:w="194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Input controls</w:t>
            </w:r>
          </w:p>
        </w:tc>
        <w:tc>
          <w:tcPr>
            <w:tcW w:type="dxa" w:w="352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Reject or contain malicious and out-of-scope requests</w:t>
            </w:r>
          </w:p>
        </w:tc>
        <w:tc>
          <w:tcPr>
            <w:tcW w:type="dxa" w:w="424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Size limits, file and prompt validation, denied topics, prompt-injection patterns</w:t>
            </w:r>
          </w:p>
        </w:tc>
      </w:tr>
      <w:tr>
        <w:trPr>
          <w:cantSplit w:val="true"/>
        </w:trPr>
        <w:tc>
          <w:tcPr>
            <w:tcW w:type="dxa" w:w="194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Retrieval controls</w:t>
            </w:r>
          </w:p>
        </w:tc>
        <w:tc>
          <w:tcPr>
            <w:tcW w:type="dxa" w:w="352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Prevent unauthorized or irrelevant evidence</w:t>
            </w:r>
          </w:p>
        </w:tc>
        <w:tc>
          <w:tcPr>
            <w:tcW w:type="dxa" w:w="424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Access filters, active-version filters, minimum evidence, authority ranking</w:t>
            </w:r>
          </w:p>
        </w:tc>
      </w:tr>
      <w:tr>
        <w:trPr>
          <w:cantSplit w:val="true"/>
        </w:trPr>
        <w:tc>
          <w:tcPr>
            <w:tcW w:type="dxa" w:w="194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Prompt controls</w:t>
            </w:r>
          </w:p>
        </w:tc>
        <w:tc>
          <w:tcPr>
            <w:tcW w:type="dxa" w:w="352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Separate instructions from untrusted evidence</w:t>
            </w:r>
          </w:p>
        </w:tc>
        <w:tc>
          <w:tcPr>
            <w:tcW w:type="dxa" w:w="424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Delimiters, no tool authority, explicit answer contract, constrained citation IDs</w:t>
            </w:r>
          </w:p>
        </w:tc>
      </w:tr>
      <w:tr>
        <w:trPr>
          <w:cantSplit w:val="true"/>
        </w:trPr>
        <w:tc>
          <w:tcPr>
            <w:tcW w:type="dxa" w:w="194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Bedrock Guardrails</w:t>
            </w:r>
          </w:p>
        </w:tc>
        <w:tc>
          <w:tcPr>
            <w:tcW w:type="dxa" w:w="352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Evaluate user input and model output with configured policies</w:t>
            </w:r>
          </w:p>
        </w:tc>
        <w:tc>
          <w:tcPr>
            <w:tcW w:type="dxa" w:w="424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Content filters, denied topics, sensitive information, word filters, contextual checks where applicable</w:t>
            </w:r>
          </w:p>
        </w:tc>
      </w:tr>
      <w:tr>
        <w:trPr>
          <w:cantSplit w:val="true"/>
        </w:trPr>
        <w:tc>
          <w:tcPr>
            <w:tcW w:type="dxa" w:w="194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Output validation</w:t>
            </w:r>
          </w:p>
        </w:tc>
        <w:tc>
          <w:tcPr>
            <w:tcW w:type="dxa" w:w="352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Block unsupported or malformed responses</w:t>
            </w:r>
          </w:p>
        </w:tc>
        <w:tc>
          <w:tcPr>
            <w:tcW w:type="dxa" w:w="424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Citation resolution, claim coverage, length and link checks, refusal fallback</w:t>
            </w:r>
          </w:p>
        </w:tc>
      </w:tr>
      <w:tr>
        <w:trPr>
          <w:cantSplit w:val="true"/>
        </w:trPr>
        <w:tc>
          <w:tcPr>
            <w:tcW w:type="dxa" w:w="194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Operational controls</w:t>
            </w:r>
          </w:p>
        </w:tc>
        <w:tc>
          <w:tcPr>
            <w:tcW w:type="dxa" w:w="352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Detect drift and abuse over time</w:t>
            </w:r>
          </w:p>
        </w:tc>
        <w:tc>
          <w:tcPr>
            <w:tcW w:type="dxa" w:w="424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Red-team suite, telemetry, alerts, configuration versioning, regression gates</w:t>
            </w:r>
          </w:p>
        </w:tc>
      </w:tr>
    </w:tbl>
    <w:p>
      <w:pPr>
        <w:spacing w:after="20"/>
      </w:pPr>
    </w:p>
    <w:p>
      <w:pPr>
        <w:pStyle w:val="Heading2"/>
        <w:keepNext/>
      </w:pPr>
      <w:r>
        <w:rPr>
          <w:rFonts w:ascii="Aptos" w:hAnsi="Aptos"/>
          <w:b/>
          <w:color w:val="000000"/>
          <w:sz w:val="25"/>
        </w:rPr>
        <w:t>Red-Team Execution</w:t>
      </w:r>
    </w:p>
    <w:p>
      <w:pPr>
        <w:pStyle w:val="ListBullet"/>
        <w:spacing w:after="40" w:line="250" w:lineRule="auto"/>
        <w:ind w:left="360" w:hanging="202"/>
      </w:pPr>
      <w:r>
        <w:rPr>
          <w:rFonts w:ascii="Aptos" w:hAnsi="Aptos"/>
          <w:sz w:val="20"/>
        </w:rPr>
        <w:t>Test direct and indirect prompt injection, requests to ignore sources, false citation instructions, role manipulation, and encoded or multi-turn attacks.</w:t>
      </w:r>
    </w:p>
    <w:p>
      <w:pPr>
        <w:pStyle w:val="ListBullet"/>
        <w:spacing w:after="40" w:line="250" w:lineRule="auto"/>
        <w:ind w:left="360" w:hanging="202"/>
      </w:pPr>
      <w:r>
        <w:rPr>
          <w:rFonts w:ascii="Aptos" w:hAnsi="Aptos"/>
          <w:sz w:val="20"/>
        </w:rPr>
        <w:t>Test claims beyond the corpus, unsupported compliance conclusions, source-version confusion, and attempts to treat explanatory text as normative.</w:t>
      </w:r>
    </w:p>
    <w:p>
      <w:pPr>
        <w:pStyle w:val="ListBullet"/>
        <w:spacing w:after="40" w:line="250" w:lineRule="auto"/>
        <w:ind w:left="360" w:hanging="202"/>
      </w:pPr>
      <w:r>
        <w:rPr>
          <w:rFonts w:ascii="Aptos" w:hAnsi="Aptos"/>
          <w:sz w:val="20"/>
        </w:rPr>
        <w:t>Exercise both application controls and the versioned Bedrock Guardrail configuration; record which layer detected or contained each attack.</w:t>
      </w:r>
    </w:p>
    <w:p>
      <w:pPr>
        <w:pStyle w:val="ListBullet"/>
        <w:spacing w:after="40" w:line="250" w:lineRule="auto"/>
        <w:ind w:left="360" w:hanging="202"/>
      </w:pPr>
      <w:r>
        <w:rPr>
          <w:rFonts w:ascii="Aptos" w:hAnsi="Aptos"/>
          <w:sz w:val="20"/>
        </w:rPr>
        <w:t>Convert material failures into repeatable regression cases and block release while a critical bypass remains unresolved.</w:t>
      </w:r>
    </w:p>
    <w:p>
      <w:pPr>
        <w:pStyle w:val="Heading1"/>
        <w:keepNext/>
        <w:pageBreakBefore/>
      </w:pPr>
      <w:r>
        <w:rPr>
          <w:rFonts w:ascii="Aptos" w:hAnsi="Aptos"/>
          <w:b/>
          <w:color w:val="287D8E"/>
          <w:sz w:val="34"/>
        </w:rPr>
        <w:t xml:space="preserve">9  </w:t>
      </w:r>
      <w:r>
        <w:rPr>
          <w:rFonts w:ascii="Aptos" w:hAnsi="Aptos"/>
          <w:b/>
          <w:color w:val="000000"/>
          <w:sz w:val="34"/>
        </w:rPr>
        <w:t>Evaluation Driven Development</w:t>
      </w:r>
    </w:p>
    <w:p>
      <w:pPr>
        <w:spacing w:after="200"/>
      </w:pPr>
      <w:r>
        <w:rPr>
          <w:rFonts w:ascii="Aptos" w:hAnsi="Aptos"/>
          <w:i/>
          <w:color w:val="4B5563"/>
          <w:sz w:val="20"/>
        </w:rPr>
        <w:t>Using repeatable evals as the test harness for RAG improvement</w:t>
      </w:r>
    </w:p>
    <w:p>
      <w:pPr>
        <w:spacing w:after="80" w:line="254" w:lineRule="auto"/>
      </w:pPr>
      <w:r>
        <w:rPr>
          <w:rFonts w:ascii="Aptos" w:hAnsi="Aptos"/>
          <w:sz w:val="20"/>
        </w:rPr>
        <w:t>The team will use evaluations in a test-driven manner. Before changing a parser, chunker, embedding model, search configuration, prompt, model, or guardrail, the expected behavior is represented in the evaluation assets. The candidate change is then measured against the current baseline. Changes are promoted only when they improve the intended stage without causing unacceptable regression elsewhere.</w:t>
      </w:r>
    </w:p>
    <w:p>
      <w:pPr>
        <w:pStyle w:val="Heading2"/>
        <w:keepNext/>
      </w:pPr>
      <w:r>
        <w:rPr>
          <w:rFonts w:ascii="Aptos" w:hAnsi="Aptos"/>
          <w:b/>
          <w:color w:val="000000"/>
          <w:sz w:val="25"/>
        </w:rPr>
        <w:t>Three Evaluation Stages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val="true"/>
        </w:trPr>
        <w:tc>
          <w:tcPr>
            <w:tcW w:type="dxa" w:w="1800"/>
            <w:shd w:fill="17365D"/>
            <w:tcMar>
              <w:top w:w="90" w:type="dxa"/>
              <w:start w:w="120" w:type="dxa"/>
              <w:bottom w:w="90" w:type="dxa"/>
              <w:end w:w="120" w:type="dxa"/>
            </w:tcMar>
            <w:vAlign w:val="center"/>
          </w:tcPr>
          <w:p>
            <w:pPr>
              <w:spacing w:after="0"/>
              <w:jc w:val="left"/>
            </w:pPr>
            <w:r>
              <w:rPr>
                <w:rFonts w:ascii="Aptos" w:hAnsi="Aptos"/>
                <w:b/>
                <w:color w:val="FFFFFF"/>
                <w:sz w:val="18"/>
              </w:rPr>
              <w:t>Stage</w:t>
            </w:r>
          </w:p>
        </w:tc>
        <w:tc>
          <w:tcPr>
            <w:tcW w:type="dxa" w:w="2736"/>
            <w:shd w:fill="17365D"/>
            <w:tcMar>
              <w:top w:w="90" w:type="dxa"/>
              <w:start w:w="120" w:type="dxa"/>
              <w:bottom w:w="90" w:type="dxa"/>
              <w:end w:w="120" w:type="dxa"/>
            </w:tcMar>
            <w:vAlign w:val="center"/>
          </w:tcPr>
          <w:p>
            <w:pPr>
              <w:spacing w:after="0"/>
              <w:jc w:val="left"/>
            </w:pPr>
            <w:r>
              <w:rPr>
                <w:rFonts w:ascii="Aptos" w:hAnsi="Aptos"/>
                <w:b/>
                <w:color w:val="FFFFFF"/>
                <w:sz w:val="18"/>
              </w:rPr>
              <w:t>Primary question</w:t>
            </w:r>
          </w:p>
        </w:tc>
        <w:tc>
          <w:tcPr>
            <w:tcW w:type="dxa" w:w="2880"/>
            <w:shd w:fill="17365D"/>
            <w:tcMar>
              <w:top w:w="90" w:type="dxa"/>
              <w:start w:w="120" w:type="dxa"/>
              <w:bottom w:w="90" w:type="dxa"/>
              <w:end w:w="120" w:type="dxa"/>
            </w:tcMar>
            <w:vAlign w:val="center"/>
          </w:tcPr>
          <w:p>
            <w:pPr>
              <w:spacing w:after="0"/>
              <w:jc w:val="left"/>
            </w:pPr>
            <w:r>
              <w:rPr>
                <w:rFonts w:ascii="Aptos" w:hAnsi="Aptos"/>
                <w:b/>
                <w:color w:val="FFFFFF"/>
                <w:sz w:val="18"/>
              </w:rPr>
              <w:t>Core measures</w:t>
            </w:r>
          </w:p>
        </w:tc>
        <w:tc>
          <w:tcPr>
            <w:tcW w:type="dxa" w:w="2304"/>
            <w:shd w:fill="17365D"/>
            <w:tcMar>
              <w:top w:w="90" w:type="dxa"/>
              <w:start w:w="120" w:type="dxa"/>
              <w:bottom w:w="90" w:type="dxa"/>
              <w:end w:w="120" w:type="dxa"/>
            </w:tcMar>
            <w:vAlign w:val="center"/>
          </w:tcPr>
          <w:p>
            <w:pPr>
              <w:spacing w:after="0"/>
              <w:jc w:val="left"/>
            </w:pPr>
            <w:r>
              <w:rPr>
                <w:rFonts w:ascii="Aptos" w:hAnsi="Aptos"/>
                <w:b/>
                <w:color w:val="FFFFFF"/>
                <w:sz w:val="18"/>
              </w:rPr>
              <w:t>Typical changes</w:t>
            </w:r>
          </w:p>
        </w:tc>
      </w:tr>
      <w:tr>
        <w:trPr>
          <w:cantSplit w:val="true"/>
        </w:trPr>
        <w:tc>
          <w:tcPr>
            <w:tcW w:type="dxa" w:w="180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1  Chunking and retrieval</w:t>
            </w:r>
          </w:p>
        </w:tc>
        <w:tc>
          <w:tcPr>
            <w:tcW w:type="dxa" w:w="2736"/>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Is the system retrieving the right evidence</w:t>
            </w:r>
          </w:p>
        </w:tc>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Recall at 5, Mean Reciprocal Rank, identifier accuracy, source diversity, latency</w:t>
            </w:r>
          </w:p>
        </w:tc>
        <w:tc>
          <w:tcPr>
            <w:tcW w:type="dxa" w:w="230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Markdown rules, metadata, chunk size, overlap, embeddings, filters, fusion, reranking</w:t>
            </w:r>
          </w:p>
        </w:tc>
      </w:tr>
      <w:tr>
        <w:trPr>
          <w:cantSplit w:val="true"/>
        </w:trPr>
        <w:tc>
          <w:tcPr>
            <w:tcW w:type="dxa" w:w="180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2  Answer and citations</w:t>
            </w:r>
          </w:p>
        </w:tc>
        <w:tc>
          <w:tcPr>
            <w:tcW w:type="dxa" w:w="2736"/>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Is the answer accurate, complete, appropriately bounded, and cited</w:t>
            </w:r>
          </w:p>
        </w:tc>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Citation coverage, citation entailment, unsupported claim rate, refusal accuracy, usefulness</w:t>
            </w:r>
          </w:p>
        </w:tc>
        <w:tc>
          <w:tcPr>
            <w:tcW w:type="dxa" w:w="230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Context selection, answer prompt, model, citation validator, rewrite and refusal rules</w:t>
            </w:r>
          </w:p>
        </w:tc>
      </w:tr>
      <w:tr>
        <w:trPr>
          <w:cantSplit w:val="true"/>
        </w:trPr>
        <w:tc>
          <w:tcPr>
            <w:tcW w:type="dxa" w:w="180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3  Red teaming</w:t>
            </w:r>
          </w:p>
        </w:tc>
        <w:tc>
          <w:tcPr>
            <w:tcW w:type="dxa" w:w="2736"/>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Can the model be induced to hallucinate, ignore evidence, expose data, or bypass safeguards</w:t>
            </w:r>
          </w:p>
        </w:tc>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Critical bypass count, attack success rate, sensitive-data leakage, false blocks, recovery behavior</w:t>
            </w:r>
          </w:p>
        </w:tc>
        <w:tc>
          <w:tcPr>
            <w:tcW w:type="dxa" w:w="230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System prompt, application controls, Bedrock Guardrails, output validation, monitoring</w:t>
            </w:r>
          </w:p>
        </w:tc>
      </w:tr>
    </w:tbl>
    <w:p>
      <w:pPr>
        <w:spacing w:after="20"/>
      </w:pPr>
    </w:p>
    <w:p>
      <w:pPr>
        <w:pStyle w:val="Heading2"/>
        <w:keepNext/>
      </w:pPr>
      <w:r>
        <w:rPr>
          <w:rFonts w:ascii="Aptos" w:hAnsi="Aptos"/>
          <w:b/>
          <w:color w:val="000000"/>
          <w:sz w:val="25"/>
        </w:rPr>
        <w:t>Golden Set of 50 Questions</w:t>
      </w:r>
    </w:p>
    <w:p>
      <w:pPr>
        <w:spacing w:after="80" w:line="254" w:lineRule="auto"/>
      </w:pPr>
      <w:r>
        <w:rPr>
          <w:rFonts w:ascii="Aptos" w:hAnsi="Aptos"/>
          <w:sz w:val="20"/>
        </w:rPr>
        <w:t>The initial golden set will contain 50 version-controlled questions selected to represent the expected users, common CSF tasks, difficult retrieval patterns, unsupported requests, and deliberate attacks. Each question will include expected evidence and evaluation instructions; it is not limited to a preferred answer string.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880"/>
            <w:shd w:fill="17365D"/>
            <w:tcMar>
              <w:top w:w="90" w:type="dxa"/>
              <w:start w:w="120" w:type="dxa"/>
              <w:bottom w:w="90" w:type="dxa"/>
              <w:end w:w="120" w:type="dxa"/>
            </w:tcMar>
            <w:vAlign w:val="center"/>
          </w:tcPr>
          <w:p>
            <w:pPr>
              <w:spacing w:after="0"/>
              <w:jc w:val="left"/>
            </w:pPr>
            <w:r>
              <w:rPr>
                <w:rFonts w:ascii="Aptos" w:hAnsi="Aptos"/>
                <w:b/>
                <w:color w:val="FFFFFF"/>
                <w:sz w:val="18"/>
              </w:rPr>
              <w:t>Question group</w:t>
            </w:r>
          </w:p>
        </w:tc>
        <w:tc>
          <w:tcPr>
            <w:tcW w:type="dxa" w:w="1007"/>
            <w:shd w:fill="17365D"/>
            <w:tcMar>
              <w:top w:w="90" w:type="dxa"/>
              <w:start w:w="120" w:type="dxa"/>
              <w:bottom w:w="90" w:type="dxa"/>
              <w:end w:w="120" w:type="dxa"/>
            </w:tcMar>
            <w:vAlign w:val="center"/>
          </w:tcPr>
          <w:p>
            <w:pPr>
              <w:spacing w:after="0"/>
              <w:jc w:val="center"/>
            </w:pPr>
            <w:r>
              <w:rPr>
                <w:rFonts w:ascii="Aptos" w:hAnsi="Aptos"/>
                <w:b/>
                <w:color w:val="FFFFFF"/>
                <w:sz w:val="18"/>
              </w:rPr>
              <w:t>Count</w:t>
            </w:r>
          </w:p>
        </w:tc>
        <w:tc>
          <w:tcPr>
            <w:tcW w:type="dxa" w:w="5832"/>
            <w:shd w:fill="17365D"/>
            <w:tcMar>
              <w:top w:w="90" w:type="dxa"/>
              <w:start w:w="120" w:type="dxa"/>
              <w:bottom w:w="90" w:type="dxa"/>
              <w:end w:w="120" w:type="dxa"/>
            </w:tcMar>
            <w:vAlign w:val="center"/>
          </w:tcPr>
          <w:p>
            <w:pPr>
              <w:spacing w:after="0"/>
              <w:jc w:val="left"/>
            </w:pPr>
            <w:r>
              <w:rPr>
                <w:rFonts w:ascii="Aptos" w:hAnsi="Aptos"/>
                <w:b/>
                <w:color w:val="FFFFFF"/>
                <w:sz w:val="18"/>
              </w:rPr>
              <w:t>Purpose</w:t>
            </w:r>
          </w:p>
        </w:tc>
      </w:tr>
      <w:tr>
        <w:trPr>
          <w:cantSplit w:val="true"/>
        </w:trPr>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Direct framework lookup</w:t>
            </w:r>
          </w:p>
        </w:tc>
        <w:tc>
          <w:tcPr>
            <w:tcW w:type="dxa" w:w="1007"/>
            <w:shd w:fill="FFFFFF"/>
            <w:tcMar>
              <w:top w:w="80" w:type="dxa"/>
              <w:start w:w="120" w:type="dxa"/>
              <w:bottom w:w="80" w:type="dxa"/>
              <w:end w:w="120" w:type="dxa"/>
            </w:tcMar>
            <w:vAlign w:val="center"/>
          </w:tcPr>
          <w:p>
            <w:pPr>
              <w:spacing w:after="0" w:line="252" w:lineRule="auto"/>
              <w:jc w:val="center"/>
            </w:pPr>
            <w:r>
              <w:rPr>
                <w:rFonts w:ascii="Aptos" w:hAnsi="Aptos"/>
                <w:color w:val="000000"/>
                <w:sz w:val="17"/>
              </w:rPr>
              <w:t>12</w:t>
            </w:r>
          </w:p>
        </w:tc>
        <w:tc>
          <w:tcPr>
            <w:tcW w:type="dxa" w:w="5832"/>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Validate straightforward retrieval of definitions, outcomes, Functions, Categories, and Subcategories</w:t>
            </w:r>
          </w:p>
        </w:tc>
      </w:tr>
      <w:tr>
        <w:trPr>
          <w:cantSplit w:val="true"/>
        </w:trPr>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Exact identifiers and hierarchy</w:t>
            </w:r>
          </w:p>
        </w:tc>
        <w:tc>
          <w:tcPr>
            <w:tcW w:type="dxa" w:w="1007"/>
            <w:shd w:fill="EAF2F8"/>
            <w:tcMar>
              <w:top w:w="80" w:type="dxa"/>
              <w:start w:w="120" w:type="dxa"/>
              <w:bottom w:w="80" w:type="dxa"/>
              <w:end w:w="120" w:type="dxa"/>
            </w:tcMar>
            <w:vAlign w:val="center"/>
          </w:tcPr>
          <w:p>
            <w:pPr>
              <w:spacing w:after="0" w:line="252" w:lineRule="auto"/>
              <w:jc w:val="center"/>
            </w:pPr>
            <w:r>
              <w:rPr>
                <w:rFonts w:ascii="Aptos" w:hAnsi="Aptos"/>
                <w:color w:val="000000"/>
                <w:sz w:val="17"/>
              </w:rPr>
              <w:t>10</w:t>
            </w:r>
          </w:p>
        </w:tc>
        <w:tc>
          <w:tcPr>
            <w:tcW w:type="dxa" w:w="5832"/>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Test Category and Subcategory numbering, parent relationships, and metadata filters</w:t>
            </w:r>
          </w:p>
        </w:tc>
      </w:tr>
      <w:tr>
        <w:trPr>
          <w:cantSplit w:val="true"/>
        </w:trPr>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Cross-section synthesis</w:t>
            </w:r>
          </w:p>
        </w:tc>
        <w:tc>
          <w:tcPr>
            <w:tcW w:type="dxa" w:w="1007"/>
            <w:shd w:fill="FFFFFF"/>
            <w:tcMar>
              <w:top w:w="80" w:type="dxa"/>
              <w:start w:w="120" w:type="dxa"/>
              <w:bottom w:w="80" w:type="dxa"/>
              <w:end w:w="120" w:type="dxa"/>
            </w:tcMar>
            <w:vAlign w:val="center"/>
          </w:tcPr>
          <w:p>
            <w:pPr>
              <w:spacing w:after="0" w:line="252" w:lineRule="auto"/>
              <w:jc w:val="center"/>
            </w:pPr>
            <w:r>
              <w:rPr>
                <w:rFonts w:ascii="Aptos" w:hAnsi="Aptos"/>
                <w:color w:val="000000"/>
                <w:sz w:val="17"/>
              </w:rPr>
              <w:t>8</w:t>
            </w:r>
          </w:p>
        </w:tc>
        <w:tc>
          <w:tcPr>
            <w:tcW w:type="dxa" w:w="5832"/>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Require evidence from more than one relevant passage without unsupported extrapolation</w:t>
            </w:r>
          </w:p>
        </w:tc>
      </w:tr>
      <w:tr>
        <w:trPr>
          <w:cantSplit w:val="true"/>
        </w:trPr>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Version and authority</w:t>
            </w:r>
          </w:p>
        </w:tc>
        <w:tc>
          <w:tcPr>
            <w:tcW w:type="dxa" w:w="1007"/>
            <w:shd w:fill="EAF2F8"/>
            <w:tcMar>
              <w:top w:w="80" w:type="dxa"/>
              <w:start w:w="120" w:type="dxa"/>
              <w:bottom w:w="80" w:type="dxa"/>
              <w:end w:w="120" w:type="dxa"/>
            </w:tcMar>
            <w:vAlign w:val="center"/>
          </w:tcPr>
          <w:p>
            <w:pPr>
              <w:spacing w:after="0" w:line="252" w:lineRule="auto"/>
              <w:jc w:val="center"/>
            </w:pPr>
            <w:r>
              <w:rPr>
                <w:rFonts w:ascii="Aptos" w:hAnsi="Aptos"/>
                <w:color w:val="000000"/>
                <w:sz w:val="17"/>
              </w:rPr>
              <w:t>5</w:t>
            </w:r>
          </w:p>
        </w:tc>
        <w:tc>
          <w:tcPr>
            <w:tcW w:type="dxa" w:w="5832"/>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Distinguish active versions, Core text, explanatory resources, and source precedence</w:t>
            </w:r>
          </w:p>
        </w:tc>
      </w:tr>
      <w:tr>
        <w:trPr>
          <w:cantSplit w:val="true"/>
        </w:trPr>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Unanswerable or ambiguous</w:t>
            </w:r>
          </w:p>
        </w:tc>
        <w:tc>
          <w:tcPr>
            <w:tcW w:type="dxa" w:w="1007"/>
            <w:shd w:fill="FFFFFF"/>
            <w:tcMar>
              <w:top w:w="80" w:type="dxa"/>
              <w:start w:w="120" w:type="dxa"/>
              <w:bottom w:w="80" w:type="dxa"/>
              <w:end w:w="120" w:type="dxa"/>
            </w:tcMar>
            <w:vAlign w:val="center"/>
          </w:tcPr>
          <w:p>
            <w:pPr>
              <w:spacing w:after="0" w:line="252" w:lineRule="auto"/>
              <w:jc w:val="center"/>
            </w:pPr>
            <w:r>
              <w:rPr>
                <w:rFonts w:ascii="Aptos" w:hAnsi="Aptos"/>
                <w:color w:val="000000"/>
                <w:sz w:val="17"/>
              </w:rPr>
              <w:t>5</w:t>
            </w:r>
          </w:p>
        </w:tc>
        <w:tc>
          <w:tcPr>
            <w:tcW w:type="dxa" w:w="5832"/>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Test clarification and safe refusal when the corpus does not support a conclusion</w:t>
            </w:r>
          </w:p>
        </w:tc>
      </w:tr>
      <w:tr>
        <w:trPr>
          <w:cantSplit w:val="true"/>
        </w:trPr>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Adversarial and red-team</w:t>
            </w:r>
          </w:p>
        </w:tc>
        <w:tc>
          <w:tcPr>
            <w:tcW w:type="dxa" w:w="1007"/>
            <w:shd w:fill="EAF2F8"/>
            <w:tcMar>
              <w:top w:w="80" w:type="dxa"/>
              <w:start w:w="120" w:type="dxa"/>
              <w:bottom w:w="80" w:type="dxa"/>
              <w:end w:w="120" w:type="dxa"/>
            </w:tcMar>
            <w:vAlign w:val="center"/>
          </w:tcPr>
          <w:p>
            <w:pPr>
              <w:spacing w:after="0" w:line="252" w:lineRule="auto"/>
              <w:jc w:val="center"/>
            </w:pPr>
            <w:r>
              <w:rPr>
                <w:rFonts w:ascii="Aptos" w:hAnsi="Aptos"/>
                <w:color w:val="000000"/>
                <w:sz w:val="17"/>
              </w:rPr>
              <w:t>10</w:t>
            </w:r>
          </w:p>
        </w:tc>
        <w:tc>
          <w:tcPr>
            <w:tcW w:type="dxa" w:w="5832"/>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Attempt prompt injection, citation spoofing, instruction override, compliance claims, and data disclosure</w:t>
            </w:r>
          </w:p>
        </w:tc>
      </w:tr>
    </w:tbl>
    <w:p>
      <w:pPr>
        <w:spacing w:after="20"/>
      </w:pPr>
    </w:p>
    <w:p>
      <w:pPr>
        <w:pStyle w:val="Heading2"/>
        <w:keepNext/>
        <w:pageBreakBefore/>
      </w:pPr>
      <w:r>
        <w:rPr>
          <w:rFonts w:ascii="Aptos" w:hAnsi="Aptos"/>
          <w:b/>
          <w:color w:val="000000"/>
          <w:sz w:val="25"/>
        </w:rPr>
        <w:t>Golden Set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880"/>
            <w:shd w:fill="17365D"/>
            <w:tcMar>
              <w:top w:w="90" w:type="dxa"/>
              <w:start w:w="120" w:type="dxa"/>
              <w:bottom w:w="90" w:type="dxa"/>
              <w:end w:w="120" w:type="dxa"/>
            </w:tcMar>
            <w:vAlign w:val="center"/>
          </w:tcPr>
          <w:p>
            <w:pPr>
              <w:spacing w:after="0"/>
              <w:jc w:val="left"/>
            </w:pPr>
            <w:r>
              <w:rPr>
                <w:rFonts w:ascii="Aptos" w:hAnsi="Aptos"/>
                <w:b/>
                <w:color w:val="FFFFFF"/>
                <w:sz w:val="18"/>
              </w:rPr>
              <w:t>Field</w:t>
            </w:r>
          </w:p>
        </w:tc>
        <w:tc>
          <w:tcPr>
            <w:tcW w:type="dxa" w:w="6840"/>
            <w:shd w:fill="17365D"/>
            <w:tcMar>
              <w:top w:w="90" w:type="dxa"/>
              <w:start w:w="120" w:type="dxa"/>
              <w:bottom w:w="90" w:type="dxa"/>
              <w:end w:w="120" w:type="dxa"/>
            </w:tcMar>
            <w:vAlign w:val="center"/>
          </w:tcPr>
          <w:p>
            <w:pPr>
              <w:spacing w:after="0"/>
              <w:jc w:val="left"/>
            </w:pPr>
            <w:r>
              <w:rPr>
                <w:rFonts w:ascii="Aptos" w:hAnsi="Aptos"/>
                <w:b/>
                <w:color w:val="FFFFFF"/>
                <w:sz w:val="18"/>
              </w:rPr>
              <w:t>What it records</w:t>
            </w:r>
          </w:p>
        </w:tc>
      </w:tr>
      <w:tr>
        <w:trPr>
          <w:cantSplit w:val="true"/>
        </w:trPr>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question_id and version</w:t>
            </w:r>
          </w:p>
        </w:tc>
        <w:tc>
          <w:tcPr>
            <w:tcW w:type="dxa" w:w="684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Stable test identity and change history</w:t>
            </w:r>
          </w:p>
        </w:tc>
      </w:tr>
      <w:tr>
        <w:trPr>
          <w:cantSplit w:val="true"/>
        </w:trPr>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persona and intent</w:t>
            </w:r>
          </w:p>
        </w:tc>
        <w:tc>
          <w:tcPr>
            <w:tcW w:type="dxa" w:w="684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Who is asking and the job the question represents</w:t>
            </w:r>
          </w:p>
        </w:tc>
      </w:tr>
      <w:tr>
        <w:trPr>
          <w:cantSplit w:val="true"/>
        </w:trPr>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question and variants</w:t>
            </w:r>
          </w:p>
        </w:tc>
        <w:tc>
          <w:tcPr>
            <w:tcW w:type="dxa" w:w="684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Canonical wording plus approved paraphrases</w:t>
            </w:r>
          </w:p>
        </w:tc>
      </w:tr>
      <w:tr>
        <w:trPr>
          <w:cantSplit w:val="true"/>
        </w:trPr>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expected source evidence</w:t>
            </w:r>
          </w:p>
        </w:tc>
        <w:tc>
          <w:tcPr>
            <w:tcW w:type="dxa" w:w="684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Relevant source IDs, versions, pages, identifiers, and chunk-level judgments</w:t>
            </w:r>
          </w:p>
        </w:tc>
      </w:tr>
      <w:tr>
        <w:trPr>
          <w:cantSplit w:val="true"/>
        </w:trPr>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answer boundary</w:t>
            </w:r>
          </w:p>
        </w:tc>
        <w:tc>
          <w:tcPr>
            <w:tcW w:type="dxa" w:w="684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Required facts, permitted synthesis, unacceptable claims, and refusal expectation</w:t>
            </w:r>
          </w:p>
        </w:tc>
      </w:tr>
      <w:tr>
        <w:trPr>
          <w:cantSplit w:val="true"/>
        </w:trPr>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citation requirements</w:t>
            </w:r>
          </w:p>
        </w:tc>
        <w:tc>
          <w:tcPr>
            <w:tcW w:type="dxa" w:w="684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Claims that require citations and the evidence that entails each claim</w:t>
            </w:r>
          </w:p>
        </w:tc>
      </w:tr>
      <w:tr>
        <w:trPr>
          <w:cantSplit w:val="true"/>
        </w:trPr>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risk tags</w:t>
            </w:r>
          </w:p>
        </w:tc>
        <w:tc>
          <w:tcPr>
            <w:tcW w:type="dxa" w:w="684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Prompt injection, ambiguity, version sensitivity, compliance inference, or other special risk</w:t>
            </w:r>
          </w:p>
        </w:tc>
      </w:tr>
      <w:tr>
        <w:trPr>
          <w:cantSplit w:val="true"/>
        </w:trPr>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review status</w:t>
            </w:r>
          </w:p>
        </w:tc>
        <w:tc>
          <w:tcPr>
            <w:tcW w:type="dxa" w:w="684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Author, cybersecurity reviewer, last review date, and reason for change</w:t>
            </w:r>
          </w:p>
        </w:tc>
      </w:tr>
    </w:tbl>
    <w:p>
      <w:pPr>
        <w:spacing w:after="20"/>
      </w:pPr>
    </w:p>
    <w:p>
      <w:pPr>
        <w:pStyle w:val="Heading2"/>
        <w:keepNext/>
      </w:pPr>
      <w:r>
        <w:rPr>
          <w:rFonts w:ascii="Aptos" w:hAnsi="Aptos"/>
          <w:b/>
          <w:color w:val="000000"/>
          <w:sz w:val="25"/>
        </w:rPr>
        <w:t>Initial Release Thresholds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3096"/>
            <w:shd w:fill="17365D"/>
            <w:tcMar>
              <w:top w:w="90" w:type="dxa"/>
              <w:start w:w="120" w:type="dxa"/>
              <w:bottom w:w="90" w:type="dxa"/>
              <w:end w:w="120" w:type="dxa"/>
            </w:tcMar>
            <w:vAlign w:val="center"/>
          </w:tcPr>
          <w:p>
            <w:pPr>
              <w:spacing w:after="0"/>
              <w:jc w:val="left"/>
            </w:pPr>
            <w:r>
              <w:rPr>
                <w:rFonts w:ascii="Aptos" w:hAnsi="Aptos"/>
                <w:b/>
                <w:color w:val="FFFFFF"/>
                <w:sz w:val="18"/>
              </w:rPr>
              <w:t>Measure</w:t>
            </w:r>
          </w:p>
        </w:tc>
        <w:tc>
          <w:tcPr>
            <w:tcW w:type="dxa" w:w="6623"/>
            <w:shd w:fill="17365D"/>
            <w:tcMar>
              <w:top w:w="90" w:type="dxa"/>
              <w:start w:w="120" w:type="dxa"/>
              <w:bottom w:w="90" w:type="dxa"/>
              <w:end w:w="120" w:type="dxa"/>
            </w:tcMar>
            <w:vAlign w:val="center"/>
          </w:tcPr>
          <w:p>
            <w:pPr>
              <w:spacing w:after="0"/>
              <w:jc w:val="left"/>
            </w:pPr>
            <w:r>
              <w:rPr>
                <w:rFonts w:ascii="Aptos" w:hAnsi="Aptos"/>
                <w:b/>
                <w:color w:val="FFFFFF"/>
                <w:sz w:val="18"/>
              </w:rPr>
              <w:t>Target</w:t>
            </w:r>
          </w:p>
        </w:tc>
      </w:tr>
      <w:tr>
        <w:trPr>
          <w:cantSplit w:val="true"/>
        </w:trPr>
        <w:tc>
          <w:tcPr>
            <w:tcW w:type="dxa" w:w="309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Retrieval Recall at 5</w:t>
            </w:r>
          </w:p>
        </w:tc>
        <w:tc>
          <w:tcPr>
            <w:tcW w:type="dxa" w:w="6623"/>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At least 90 percent across the golden set and no systematic failure for exact CSF identifiers</w:t>
            </w:r>
          </w:p>
        </w:tc>
      </w:tr>
      <w:tr>
        <w:trPr>
          <w:cantSplit w:val="true"/>
        </w:trPr>
        <w:tc>
          <w:tcPr>
            <w:tcW w:type="dxa" w:w="309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Citation entailment</w:t>
            </w:r>
          </w:p>
        </w:tc>
        <w:tc>
          <w:tcPr>
            <w:tcW w:type="dxa" w:w="6623"/>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At least 95 percent of reviewed citations support the associated claim</w:t>
            </w:r>
          </w:p>
        </w:tc>
      </w:tr>
      <w:tr>
        <w:trPr>
          <w:cantSplit w:val="true"/>
        </w:trPr>
        <w:tc>
          <w:tcPr>
            <w:tcW w:type="dxa" w:w="309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Citation coverage</w:t>
            </w:r>
          </w:p>
        </w:tc>
        <w:tc>
          <w:tcPr>
            <w:tcW w:type="dxa" w:w="6623"/>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100 percent of substantive factual claims carry a citation</w:t>
            </w:r>
          </w:p>
        </w:tc>
      </w:tr>
      <w:tr>
        <w:trPr>
          <w:cantSplit w:val="true"/>
        </w:trPr>
        <w:tc>
          <w:tcPr>
            <w:tcW w:type="dxa" w:w="309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Unsupported claim rate</w:t>
            </w:r>
          </w:p>
        </w:tc>
        <w:tc>
          <w:tcPr>
            <w:tcW w:type="dxa" w:w="6623"/>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No more than 2 percent on the acceptance evaluation</w:t>
            </w:r>
          </w:p>
        </w:tc>
      </w:tr>
      <w:tr>
        <w:trPr>
          <w:cantSplit w:val="true"/>
        </w:trPr>
        <w:tc>
          <w:tcPr>
            <w:tcW w:type="dxa" w:w="309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Correct refusal</w:t>
            </w:r>
          </w:p>
        </w:tc>
        <w:tc>
          <w:tcPr>
            <w:tcW w:type="dxa" w:w="6623"/>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At least 95 percent for unanswerable and out-of-scope questions</w:t>
            </w:r>
          </w:p>
        </w:tc>
      </w:tr>
      <w:tr>
        <w:trPr>
          <w:cantSplit w:val="true"/>
        </w:trPr>
        <w:tc>
          <w:tcPr>
            <w:tcW w:type="dxa" w:w="309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Critical red-team failures</w:t>
            </w:r>
          </w:p>
        </w:tc>
        <w:tc>
          <w:tcPr>
            <w:tcW w:type="dxa" w:w="6623"/>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Zero open failures that expose protected data, defeat authorization, or systematically bypass evidence constraints</w:t>
            </w:r>
          </w:p>
        </w:tc>
      </w:tr>
    </w:tbl>
    <w:p>
      <w:pPr>
        <w:spacing w:after="20"/>
      </w:pPr>
    </w:p>
    <w:p>
      <w:pPr>
        <w:pStyle w:val="Heading1"/>
        <w:keepNext/>
        <w:pageBreakBefore/>
      </w:pPr>
      <w:r>
        <w:rPr>
          <w:rFonts w:ascii="Aptos" w:hAnsi="Aptos"/>
          <w:b/>
          <w:color w:val="287D8E"/>
          <w:sz w:val="34"/>
        </w:rPr>
        <w:t xml:space="preserve">10  </w:t>
      </w:r>
      <w:r>
        <w:rPr>
          <w:rFonts w:ascii="Aptos" w:hAnsi="Aptos"/>
          <w:b/>
          <w:color w:val="000000"/>
          <w:sz w:val="34"/>
        </w:rPr>
        <w:t>AWS Runtime and Deployment Architecture</w:t>
      </w:r>
    </w:p>
    <w:p>
      <w:pPr>
        <w:spacing w:after="200"/>
      </w:pPr>
      <w:r>
        <w:rPr>
          <w:rFonts w:ascii="Aptos" w:hAnsi="Aptos"/>
          <w:i/>
          <w:color w:val="4B5563"/>
          <w:sz w:val="20"/>
        </w:rPr>
        <w:t>How the application is isolated, deployed, secured, and operated</w:t>
      </w:r>
    </w:p>
    <w:p>
      <w:pPr>
        <w:pStyle w:val="Heading2"/>
        <w:keepNext/>
      </w:pPr>
      <w:r>
        <w:rPr>
          <w:rFonts w:ascii="Aptos" w:hAnsi="Aptos"/>
          <w:b/>
          <w:color w:val="000000"/>
          <w:sz w:val="25"/>
        </w:rPr>
        <w:t>Runtime Request Flow</w:t>
      </w:r>
    </w:p>
    <w:p>
      <w:pPr>
        <w:spacing w:after="60" w:line="250" w:lineRule="auto"/>
        <w:ind w:left="403" w:hanging="259"/>
      </w:pPr>
      <w:r>
        <w:rPr>
          <w:rFonts w:ascii="Aptos" w:hAnsi="Aptos"/>
          <w:sz w:val="20"/>
        </w:rPr>
        <w:t>1. The user connects through CloudFront and AWS WAF to the authenticated web application.</w:t>
      </w:r>
    </w:p>
    <w:p>
      <w:pPr>
        <w:spacing w:after="60" w:line="250" w:lineRule="auto"/>
        <w:ind w:left="403" w:hanging="259"/>
      </w:pPr>
      <w:r>
        <w:rPr>
          <w:rFonts w:ascii="Aptos" w:hAnsi="Aptos"/>
          <w:sz w:val="20"/>
        </w:rPr>
        <w:t>2. The application service authorizes the request, loads allowed conversation context, and calls the retrieval service.</w:t>
      </w:r>
    </w:p>
    <w:p>
      <w:pPr>
        <w:spacing w:after="60" w:line="250" w:lineRule="auto"/>
        <w:ind w:left="403" w:hanging="259"/>
      </w:pPr>
      <w:r>
        <w:rPr>
          <w:rFonts w:ascii="Aptos" w:hAnsi="Aptos"/>
          <w:sz w:val="20"/>
        </w:rPr>
        <w:t>3. The retrieval service queries private OpenSearch endpoints and returns evidence with provenance.</w:t>
      </w:r>
    </w:p>
    <w:p>
      <w:pPr>
        <w:spacing w:after="60" w:line="250" w:lineRule="auto"/>
        <w:ind w:left="403" w:hanging="259"/>
      </w:pPr>
      <w:r>
        <w:rPr>
          <w:rFonts w:ascii="Aptos" w:hAnsi="Aptos"/>
          <w:sz w:val="20"/>
        </w:rPr>
        <w:t>4. The answer service invokes the selected Bedrock model and guardrail using private connectivity where supported and validates the response.</w:t>
      </w:r>
    </w:p>
    <w:p>
      <w:pPr>
        <w:spacing w:after="60" w:line="250" w:lineRule="auto"/>
        <w:ind w:left="403" w:hanging="259"/>
      </w:pPr>
      <w:r>
        <w:rPr>
          <w:rFonts w:ascii="Aptos" w:hAnsi="Aptos"/>
          <w:sz w:val="20"/>
        </w:rPr>
        <w:t>5. The application returns the answer and citation links, then records telemetry and evaluation-compatible traces without logging unnecessary sensitive content.</w:t>
      </w:r>
    </w:p>
    <w:p>
      <w:pPr>
        <w:pStyle w:val="Heading2"/>
        <w:keepNext/>
      </w:pPr>
      <w:r>
        <w:rPr>
          <w:rFonts w:ascii="Aptos" w:hAnsi="Aptos"/>
          <w:b/>
          <w:color w:val="000000"/>
          <w:sz w:val="25"/>
        </w:rPr>
        <w:t>Environment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1800"/>
            <w:shd w:fill="17365D"/>
            <w:tcMar>
              <w:top w:w="90" w:type="dxa"/>
              <w:start w:w="120" w:type="dxa"/>
              <w:bottom w:w="90" w:type="dxa"/>
              <w:end w:w="120" w:type="dxa"/>
            </w:tcMar>
            <w:vAlign w:val="center"/>
          </w:tcPr>
          <w:p>
            <w:pPr>
              <w:spacing w:after="0"/>
              <w:jc w:val="left"/>
            </w:pPr>
            <w:r>
              <w:rPr>
                <w:rFonts w:ascii="Aptos" w:hAnsi="Aptos"/>
                <w:b/>
                <w:color w:val="FFFFFF"/>
                <w:sz w:val="18"/>
              </w:rPr>
              <w:t>Environment</w:t>
            </w:r>
          </w:p>
        </w:tc>
        <w:tc>
          <w:tcPr>
            <w:tcW w:type="dxa" w:w="3816"/>
            <w:shd w:fill="17365D"/>
            <w:tcMar>
              <w:top w:w="90" w:type="dxa"/>
              <w:start w:w="120" w:type="dxa"/>
              <w:bottom w:w="90" w:type="dxa"/>
              <w:end w:w="120" w:type="dxa"/>
            </w:tcMar>
            <w:vAlign w:val="center"/>
          </w:tcPr>
          <w:p>
            <w:pPr>
              <w:spacing w:after="0"/>
              <w:jc w:val="left"/>
            </w:pPr>
            <w:r>
              <w:rPr>
                <w:rFonts w:ascii="Aptos" w:hAnsi="Aptos"/>
                <w:b/>
                <w:color w:val="FFFFFF"/>
                <w:sz w:val="18"/>
              </w:rPr>
              <w:t>Purpose</w:t>
            </w:r>
          </w:p>
        </w:tc>
        <w:tc>
          <w:tcPr>
            <w:tcW w:type="dxa" w:w="4104"/>
            <w:shd w:fill="17365D"/>
            <w:tcMar>
              <w:top w:w="90" w:type="dxa"/>
              <w:start w:w="120" w:type="dxa"/>
              <w:bottom w:w="90" w:type="dxa"/>
              <w:end w:w="120" w:type="dxa"/>
            </w:tcMar>
            <w:vAlign w:val="center"/>
          </w:tcPr>
          <w:p>
            <w:pPr>
              <w:spacing w:after="0"/>
              <w:jc w:val="left"/>
            </w:pPr>
            <w:r>
              <w:rPr>
                <w:rFonts w:ascii="Aptos" w:hAnsi="Aptos"/>
                <w:b/>
                <w:color w:val="FFFFFF"/>
                <w:sz w:val="18"/>
              </w:rPr>
              <w:t>Data and access</w:t>
            </w:r>
          </w:p>
        </w:tc>
      </w:tr>
      <w:tr>
        <w:trPr>
          <w:cantSplit w:val="true"/>
        </w:trPr>
        <w:tc>
          <w:tcPr>
            <w:tcW w:type="dxa" w:w="180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Development</w:t>
            </w:r>
          </w:p>
        </w:tc>
        <w:tc>
          <w:tcPr>
            <w:tcW w:type="dxa" w:w="381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Feature development and developer testing</w:t>
            </w:r>
          </w:p>
        </w:tc>
        <w:tc>
          <w:tcPr>
            <w:tcW w:type="dxa" w:w="4104"/>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Synthetic or approved public NIST content; developer access; isolated indexes and databases</w:t>
            </w:r>
          </w:p>
        </w:tc>
      </w:tr>
      <w:tr>
        <w:trPr>
          <w:cantSplit w:val="true"/>
        </w:trPr>
        <w:tc>
          <w:tcPr>
            <w:tcW w:type="dxa" w:w="180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Test</w:t>
            </w:r>
          </w:p>
        </w:tc>
        <w:tc>
          <w:tcPr>
            <w:tcW w:type="dxa" w:w="381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Integration, regression, security, performance, and user acceptance</w:t>
            </w:r>
          </w:p>
        </w:tc>
        <w:tc>
          <w:tcPr>
            <w:tcW w:type="dxa" w:w="4104"/>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Production-like configuration; controlled test identities; versioned golden set</w:t>
            </w:r>
          </w:p>
        </w:tc>
      </w:tr>
      <w:tr>
        <w:trPr>
          <w:cantSplit w:val="true"/>
        </w:trPr>
        <w:tc>
          <w:tcPr>
            <w:tcW w:type="dxa" w:w="180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Production</w:t>
            </w:r>
          </w:p>
        </w:tc>
        <w:tc>
          <w:tcPr>
            <w:tcW w:type="dxa" w:w="381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Supported internal service</w:t>
            </w:r>
          </w:p>
        </w:tc>
        <w:tc>
          <w:tcPr>
            <w:tcW w:type="dxa" w:w="4104"/>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Governed active corpus; federated users; tightly restricted administrative access</w:t>
            </w:r>
          </w:p>
        </w:tc>
      </w:tr>
    </w:tbl>
    <w:p>
      <w:pPr>
        <w:spacing w:after="20"/>
      </w:pPr>
    </w:p>
    <w:p>
      <w:pPr>
        <w:pStyle w:val="Heading2"/>
        <w:keepNext/>
      </w:pPr>
      <w:r>
        <w:rPr>
          <w:rFonts w:ascii="Aptos" w:hAnsi="Aptos"/>
          <w:b/>
          <w:color w:val="000000"/>
          <w:sz w:val="25"/>
        </w:rPr>
        <w:t>Network and Identity</w:t>
      </w:r>
    </w:p>
    <w:p>
      <w:pPr>
        <w:pStyle w:val="ListBullet"/>
        <w:spacing w:after="40" w:line="250" w:lineRule="auto"/>
        <w:ind w:left="360" w:hanging="202"/>
      </w:pPr>
      <w:r>
        <w:rPr>
          <w:rFonts w:ascii="Aptos" w:hAnsi="Aptos"/>
          <w:sz w:val="20"/>
        </w:rPr>
        <w:t>Run application, search, database, and processing components in private subnets unless a managed service requires a different approved pattern.</w:t>
      </w:r>
    </w:p>
    <w:p>
      <w:pPr>
        <w:pStyle w:val="ListBullet"/>
        <w:spacing w:after="40" w:line="250" w:lineRule="auto"/>
        <w:ind w:left="360" w:hanging="202"/>
      </w:pPr>
      <w:r>
        <w:rPr>
          <w:rFonts w:ascii="Aptos" w:hAnsi="Aptos"/>
          <w:sz w:val="20"/>
        </w:rPr>
        <w:t>Expose only the application entry point; do not expose OpenSearch, Aurora, processing workers, or administrative APIs publicly.</w:t>
      </w:r>
    </w:p>
    <w:p>
      <w:pPr>
        <w:pStyle w:val="ListBullet"/>
        <w:spacing w:after="40" w:line="250" w:lineRule="auto"/>
        <w:ind w:left="360" w:hanging="202"/>
      </w:pPr>
      <w:r>
        <w:rPr>
          <w:rFonts w:ascii="Aptos" w:hAnsi="Aptos"/>
          <w:sz w:val="20"/>
        </w:rPr>
        <w:t>Use federated enterprise identity for users and short-lived IAM roles for workloads.</w:t>
      </w:r>
    </w:p>
    <w:p>
      <w:pPr>
        <w:pStyle w:val="ListBullet"/>
        <w:spacing w:after="40" w:line="250" w:lineRule="auto"/>
        <w:ind w:left="360" w:hanging="202"/>
      </w:pPr>
      <w:r>
        <w:rPr>
          <w:rFonts w:ascii="Aptos" w:hAnsi="Aptos"/>
          <w:sz w:val="20"/>
        </w:rPr>
        <w:t>Use VPC endpoints or private service connectivity where supported, security groups with least privilege, KMS encryption, and Secrets Manager for credentials.</w:t>
      </w:r>
    </w:p>
    <w:p>
      <w:pPr>
        <w:pStyle w:val="ListBullet"/>
        <w:spacing w:after="40" w:line="250" w:lineRule="auto"/>
        <w:ind w:left="360" w:hanging="202"/>
      </w:pPr>
      <w:r>
        <w:rPr>
          <w:rFonts w:ascii="Aptos" w:hAnsi="Aptos"/>
          <w:sz w:val="20"/>
        </w:rPr>
        <w:t>Separate deployment roles, runtime roles, processing roles, and administrative roles.</w:t>
      </w:r>
    </w:p>
    <w:p>
      <w:pPr>
        <w:pStyle w:val="Heading2"/>
        <w:keepNext/>
      </w:pPr>
      <w:r>
        <w:rPr>
          <w:rFonts w:ascii="Aptos" w:hAnsi="Aptos"/>
          <w:b/>
          <w:color w:val="000000"/>
          <w:sz w:val="25"/>
        </w:rPr>
        <w:t>Infrastructure as Code and Delivery</w:t>
      </w:r>
    </w:p>
    <w:p>
      <w:pPr>
        <w:spacing w:after="80" w:line="254" w:lineRule="auto"/>
      </w:pPr>
      <w:r>
        <w:rPr>
          <w:rFonts w:ascii="Aptos" w:hAnsi="Aptos"/>
          <w:sz w:val="20"/>
        </w:rPr>
        <w:t>All AWS resources, policies, alarms, dashboards, indexes, and environment-specific configuration will be defined in version-controlled infrastructure and deployment code. Changes move through automated validation, peer review, test deployment, evaluation gates, security checks, and controlled promotion. Application and infrastructure versions must be linked to the evaluation result that qualified the release.</w:t>
      </w:r>
    </w:p>
    <w:p>
      <w:pPr>
        <w:pStyle w:val="Heading1"/>
        <w:keepNext/>
        <w:pageBreakBefore/>
      </w:pPr>
      <w:r>
        <w:rPr>
          <w:rFonts w:ascii="Aptos" w:hAnsi="Aptos"/>
          <w:b/>
          <w:color w:val="287D8E"/>
          <w:sz w:val="34"/>
        </w:rPr>
        <w:t xml:space="preserve">1 1  </w:t>
      </w:r>
      <w:r>
        <w:rPr>
          <w:rFonts w:ascii="Aptos" w:hAnsi="Aptos"/>
          <w:b/>
          <w:color w:val="000000"/>
          <w:sz w:val="34"/>
        </w:rPr>
        <w:t>Security Privacy and Content Governance</w:t>
      </w:r>
    </w:p>
    <w:p>
      <w:pPr>
        <w:spacing w:after="200"/>
      </w:pPr>
      <w:r>
        <w:rPr>
          <w:rFonts w:ascii="Aptos" w:hAnsi="Aptos"/>
          <w:i/>
          <w:color w:val="4B5563"/>
          <w:sz w:val="20"/>
        </w:rPr>
        <w:t>Controls that protect the corpus, the service, and user trust</w:t>
      </w:r>
    </w:p>
    <w:p>
      <w:pPr>
        <w:pStyle w:val="Heading2"/>
        <w:keepNext/>
      </w:pPr>
      <w:r>
        <w:rPr>
          <w:rFonts w:ascii="Aptos" w:hAnsi="Aptos"/>
          <w:b/>
          <w:color w:val="000000"/>
          <w:sz w:val="25"/>
        </w:rPr>
        <w:t>Security Controls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376"/>
            <w:shd w:fill="17365D"/>
            <w:tcMar>
              <w:top w:w="90" w:type="dxa"/>
              <w:start w:w="120" w:type="dxa"/>
              <w:bottom w:w="90" w:type="dxa"/>
              <w:end w:w="120" w:type="dxa"/>
            </w:tcMar>
            <w:vAlign w:val="center"/>
          </w:tcPr>
          <w:p>
            <w:pPr>
              <w:spacing w:after="0"/>
              <w:jc w:val="left"/>
            </w:pPr>
            <w:r>
              <w:rPr>
                <w:rFonts w:ascii="Aptos" w:hAnsi="Aptos"/>
                <w:b/>
                <w:color w:val="FFFFFF"/>
                <w:sz w:val="18"/>
              </w:rPr>
              <w:t>Area</w:t>
            </w:r>
          </w:p>
        </w:tc>
        <w:tc>
          <w:tcPr>
            <w:tcW w:type="dxa" w:w="7343"/>
            <w:shd w:fill="17365D"/>
            <w:tcMar>
              <w:top w:w="90" w:type="dxa"/>
              <w:start w:w="120" w:type="dxa"/>
              <w:bottom w:w="90" w:type="dxa"/>
              <w:end w:w="120" w:type="dxa"/>
            </w:tcMar>
            <w:vAlign w:val="center"/>
          </w:tcPr>
          <w:p>
            <w:pPr>
              <w:spacing w:after="0"/>
              <w:jc w:val="left"/>
            </w:pPr>
            <w:r>
              <w:rPr>
                <w:rFonts w:ascii="Aptos" w:hAnsi="Aptos"/>
                <w:b/>
                <w:color w:val="FFFFFF"/>
                <w:sz w:val="18"/>
              </w:rPr>
              <w:t>Design control</w:t>
            </w:r>
          </w:p>
        </w:tc>
      </w:tr>
      <w:tr>
        <w:trPr>
          <w:cantSplit w:val="true"/>
        </w:trPr>
        <w:tc>
          <w:tcPr>
            <w:tcW w:type="dxa" w:w="237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Authentication and authorization</w:t>
            </w:r>
          </w:p>
        </w:tc>
        <w:tc>
          <w:tcPr>
            <w:tcW w:type="dxa" w:w="7343"/>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Federated sign-in, role-based access, server-side authorization, separate user and administrator permissions</w:t>
            </w:r>
          </w:p>
        </w:tc>
      </w:tr>
      <w:tr>
        <w:trPr>
          <w:cantSplit w:val="true"/>
        </w:trPr>
        <w:tc>
          <w:tcPr>
            <w:tcW w:type="dxa" w:w="237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Data protection</w:t>
            </w:r>
          </w:p>
        </w:tc>
        <w:tc>
          <w:tcPr>
            <w:tcW w:type="dxa" w:w="7343"/>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TLS in transit, KMS encryption at rest, private networking, secrets management, and minimized sensitive data collection</w:t>
            </w:r>
          </w:p>
        </w:tc>
      </w:tr>
      <w:tr>
        <w:trPr>
          <w:cantSplit w:val="true"/>
        </w:trPr>
        <w:tc>
          <w:tcPr>
            <w:tcW w:type="dxa" w:w="237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Document security</w:t>
            </w:r>
          </w:p>
        </w:tc>
        <w:tc>
          <w:tcPr>
            <w:tcW w:type="dxa" w:w="7343"/>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File validation, malware scanning, type and size limits, untrusted-content handling, and processing isolation</w:t>
            </w:r>
          </w:p>
        </w:tc>
      </w:tr>
      <w:tr>
        <w:trPr>
          <w:cantSplit w:val="true"/>
        </w:trPr>
        <w:tc>
          <w:tcPr>
            <w:tcW w:type="dxa" w:w="237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Application security</w:t>
            </w:r>
          </w:p>
        </w:tc>
        <w:tc>
          <w:tcPr>
            <w:tcW w:type="dxa" w:w="7343"/>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Input validation, dependency scanning, secret scanning, static analysis, rate limits, and secure error handling</w:t>
            </w:r>
          </w:p>
        </w:tc>
      </w:tr>
      <w:tr>
        <w:trPr>
          <w:cantSplit w:val="true"/>
        </w:trPr>
        <w:tc>
          <w:tcPr>
            <w:tcW w:type="dxa" w:w="237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AI security</w:t>
            </w:r>
          </w:p>
        </w:tc>
        <w:tc>
          <w:tcPr>
            <w:tcW w:type="dxa" w:w="7343"/>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Prompt-injection resistance, evidence separation, denied actions, guardrail evaluation, citation validation, and safe refusal</w:t>
            </w:r>
          </w:p>
        </w:tc>
      </w:tr>
      <w:tr>
        <w:trPr>
          <w:cantSplit w:val="true"/>
        </w:trPr>
        <w:tc>
          <w:tcPr>
            <w:tcW w:type="dxa" w:w="237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Audit and detection</w:t>
            </w:r>
          </w:p>
        </w:tc>
        <w:tc>
          <w:tcPr>
            <w:tcW w:type="dxa" w:w="7343"/>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CloudTrail, administrative audit, security alerts, correlation IDs, configuration history, and incident evidence</w:t>
            </w:r>
          </w:p>
        </w:tc>
      </w:tr>
    </w:tbl>
    <w:p>
      <w:pPr>
        <w:spacing w:after="20"/>
      </w:pPr>
    </w:p>
    <w:p>
      <w:pPr>
        <w:pStyle w:val="Heading2"/>
        <w:keepNext/>
      </w:pPr>
      <w:r>
        <w:rPr>
          <w:rFonts w:ascii="Aptos" w:hAnsi="Aptos"/>
          <w:b/>
          <w:color w:val="000000"/>
          <w:sz w:val="25"/>
        </w:rPr>
        <w:t>Content Governance Workflow</w:t>
      </w:r>
    </w:p>
    <w:p>
      <w:pPr>
        <w:spacing w:after="60" w:line="250" w:lineRule="auto"/>
        <w:ind w:left="403" w:hanging="259"/>
      </w:pPr>
      <w:r>
        <w:rPr>
          <w:rFonts w:ascii="Aptos" w:hAnsi="Aptos"/>
          <w:sz w:val="20"/>
        </w:rPr>
        <w:t>1. Register a source and record authority, version, owner, canonical location, and checksum.</w:t>
      </w:r>
    </w:p>
    <w:p>
      <w:pPr>
        <w:spacing w:after="60" w:line="250" w:lineRule="auto"/>
        <w:ind w:left="403" w:hanging="259"/>
      </w:pPr>
      <w:r>
        <w:rPr>
          <w:rFonts w:ascii="Aptos" w:hAnsi="Aptos"/>
          <w:sz w:val="20"/>
        </w:rPr>
        <w:t>2. Process the source into staging and review automated extraction and structure checks.</w:t>
      </w:r>
    </w:p>
    <w:p>
      <w:pPr>
        <w:spacing w:after="60" w:line="250" w:lineRule="auto"/>
        <w:ind w:left="403" w:hanging="259"/>
      </w:pPr>
      <w:r>
        <w:rPr>
          <w:rFonts w:ascii="Aptos" w:hAnsi="Aptos"/>
          <w:sz w:val="20"/>
        </w:rPr>
        <w:t>3. Run chunking, retrieval, answer, and red-team regression suites against the candidate index.</w:t>
      </w:r>
    </w:p>
    <w:p>
      <w:pPr>
        <w:spacing w:after="60" w:line="250" w:lineRule="auto"/>
        <w:ind w:left="403" w:hanging="259"/>
      </w:pPr>
      <w:r>
        <w:rPr>
          <w:rFonts w:ascii="Aptos" w:hAnsi="Aptos"/>
          <w:sz w:val="20"/>
        </w:rPr>
        <w:t>4. Promote the source and index version only when content and release checks pass.</w:t>
      </w:r>
    </w:p>
    <w:p>
      <w:pPr>
        <w:spacing w:after="60" w:line="250" w:lineRule="auto"/>
        <w:ind w:left="403" w:hanging="259"/>
      </w:pPr>
      <w:r>
        <w:rPr>
          <w:rFonts w:ascii="Aptos" w:hAnsi="Aptos"/>
          <w:sz w:val="20"/>
        </w:rPr>
        <w:t>5. Retain superseded sources for traceability while excluding them from default retrieval.</w:t>
      </w:r>
    </w:p>
    <w:p>
      <w:pPr>
        <w:spacing w:after="60" w:line="250" w:lineRule="auto"/>
        <w:ind w:left="403" w:hanging="259"/>
      </w:pPr>
      <w:r>
        <w:rPr>
          <w:rFonts w:ascii="Aptos" w:hAnsi="Aptos"/>
          <w:sz w:val="20"/>
        </w:rPr>
        <w:t>6. Re-evaluate the corpus when NIST publishes revisions, the parser changes, or the embedding and retrieval configuration changes.</w:t>
      </w:r>
    </w:p>
    <w:p>
      <w:pPr>
        <w:pStyle w:val="Heading2"/>
        <w:keepNext/>
      </w:pPr>
      <w:r>
        <w:rPr>
          <w:rFonts w:ascii="Aptos" w:hAnsi="Aptos"/>
          <w:b/>
          <w:color w:val="000000"/>
          <w:sz w:val="25"/>
        </w:rPr>
        <w:t>Privacy and Retention</w:t>
      </w:r>
    </w:p>
    <w:p>
      <w:pPr>
        <w:pStyle w:val="ListBullet"/>
        <w:spacing w:after="40" w:line="250" w:lineRule="auto"/>
        <w:ind w:left="360" w:hanging="202"/>
      </w:pPr>
      <w:r>
        <w:rPr>
          <w:rFonts w:ascii="Aptos" w:hAnsi="Aptos"/>
          <w:sz w:val="20"/>
        </w:rPr>
        <w:t>Do not use user conversations to train or fine-tune models unless a separate governed process explicitly allows it.</w:t>
      </w:r>
    </w:p>
    <w:p>
      <w:pPr>
        <w:pStyle w:val="ListBullet"/>
        <w:spacing w:after="40" w:line="250" w:lineRule="auto"/>
        <w:ind w:left="360" w:hanging="202"/>
      </w:pPr>
      <w:r>
        <w:rPr>
          <w:rFonts w:ascii="Aptos" w:hAnsi="Aptos"/>
          <w:sz w:val="20"/>
        </w:rPr>
        <w:t>Store only the user and conversation data required for product operation, support, security, and evaluation.</w:t>
      </w:r>
    </w:p>
    <w:p>
      <w:pPr>
        <w:pStyle w:val="ListBullet"/>
        <w:spacing w:after="40" w:line="250" w:lineRule="auto"/>
        <w:ind w:left="360" w:hanging="202"/>
      </w:pPr>
      <w:r>
        <w:rPr>
          <w:rFonts w:ascii="Aptos" w:hAnsi="Aptos"/>
          <w:sz w:val="20"/>
        </w:rPr>
        <w:t>Apply published retention periods to questions, answers, feedback, traces, administrative actions, and evaluation artifacts.</w:t>
      </w:r>
    </w:p>
    <w:p>
      <w:pPr>
        <w:pStyle w:val="ListBullet"/>
        <w:spacing w:after="40" w:line="250" w:lineRule="auto"/>
        <w:ind w:left="360" w:hanging="202"/>
      </w:pPr>
      <w:r>
        <w:rPr>
          <w:rFonts w:ascii="Aptos" w:hAnsi="Aptos"/>
          <w:sz w:val="20"/>
        </w:rPr>
        <w:t>Redact or restrict sensitive content in logs while preserving the identifiers needed to reproduce a technical issue.</w:t>
      </w:r>
    </w:p>
    <w:p>
      <w:pPr>
        <w:pStyle w:val="Heading1"/>
        <w:keepNext/>
        <w:pageBreakBefore/>
      </w:pPr>
      <w:r>
        <w:rPr>
          <w:rFonts w:ascii="Aptos" w:hAnsi="Aptos"/>
          <w:b/>
          <w:color w:val="287D8E"/>
          <w:sz w:val="34"/>
        </w:rPr>
        <w:t xml:space="preserve">12  </w:t>
      </w:r>
      <w:r>
        <w:rPr>
          <w:rFonts w:ascii="Aptos" w:hAnsi="Aptos"/>
          <w:b/>
          <w:color w:val="000000"/>
          <w:sz w:val="34"/>
        </w:rPr>
        <w:t>Operations Observability and Recovery</w:t>
      </w:r>
    </w:p>
    <w:p>
      <w:pPr>
        <w:spacing w:after="200"/>
      </w:pPr>
      <w:r>
        <w:rPr>
          <w:rFonts w:ascii="Aptos" w:hAnsi="Aptos"/>
          <w:i/>
          <w:color w:val="4B5563"/>
          <w:sz w:val="20"/>
        </w:rPr>
        <w:t>Keeping the knowledge base and answer service supportable</w:t>
      </w:r>
    </w:p>
    <w:p>
      <w:pPr>
        <w:pStyle w:val="Heading2"/>
        <w:keepNext/>
      </w:pPr>
      <w:r>
        <w:rPr>
          <w:rFonts w:ascii="Aptos" w:hAnsi="Aptos"/>
          <w:b/>
          <w:color w:val="000000"/>
          <w:sz w:val="25"/>
        </w:rPr>
        <w:t>Operational Telemetry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232"/>
            <w:shd w:fill="17365D"/>
            <w:tcMar>
              <w:top w:w="90" w:type="dxa"/>
              <w:start w:w="120" w:type="dxa"/>
              <w:bottom w:w="90" w:type="dxa"/>
              <w:end w:w="120" w:type="dxa"/>
            </w:tcMar>
            <w:vAlign w:val="center"/>
          </w:tcPr>
          <w:p>
            <w:pPr>
              <w:spacing w:after="0"/>
              <w:jc w:val="left"/>
            </w:pPr>
            <w:r>
              <w:rPr>
                <w:rFonts w:ascii="Aptos" w:hAnsi="Aptos"/>
                <w:b/>
                <w:color w:val="FFFFFF"/>
                <w:sz w:val="18"/>
              </w:rPr>
              <w:t>Domain</w:t>
            </w:r>
          </w:p>
        </w:tc>
        <w:tc>
          <w:tcPr>
            <w:tcW w:type="dxa" w:w="7488"/>
            <w:shd w:fill="17365D"/>
            <w:tcMar>
              <w:top w:w="90" w:type="dxa"/>
              <w:start w:w="120" w:type="dxa"/>
              <w:bottom w:w="90" w:type="dxa"/>
              <w:end w:w="120" w:type="dxa"/>
            </w:tcMar>
            <w:vAlign w:val="center"/>
          </w:tcPr>
          <w:p>
            <w:pPr>
              <w:spacing w:after="0"/>
              <w:jc w:val="left"/>
            </w:pPr>
            <w:r>
              <w:rPr>
                <w:rFonts w:ascii="Aptos" w:hAnsi="Aptos"/>
                <w:b/>
                <w:color w:val="FFFFFF"/>
                <w:sz w:val="18"/>
              </w:rPr>
              <w:t>Signals</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Document processing</w:t>
            </w:r>
          </w:p>
        </w:tc>
        <w:tc>
          <w:tcPr>
            <w:tcW w:type="dxa" w:w="7488"/>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Files received, processing duration, extraction confidence, exceptions, failed pages, Markdown validation, chunk counts</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Retrieval</w:t>
            </w:r>
          </w:p>
        </w:tc>
        <w:tc>
          <w:tcPr>
            <w:tcW w:type="dxa" w:w="7488"/>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Query latency, lexical and vector candidate counts, filter use, Recall samples, rerank latency, zero-result and low-evidence rates</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Generation</w:t>
            </w:r>
          </w:p>
        </w:tc>
        <w:tc>
          <w:tcPr>
            <w:tcW w:type="dxa" w:w="7488"/>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Model and guardrail versions, latency, token use, refusals, validation failures, retries, citation count</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User experience</w:t>
            </w:r>
          </w:p>
        </w:tc>
        <w:tc>
          <w:tcPr>
            <w:tcW w:type="dxa" w:w="7488"/>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End-to-end latency, error rate, feedback, source opens, repeat questions, abandonment indicators</w:t>
            </w:r>
          </w:p>
        </w:tc>
      </w:tr>
      <w:tr>
        <w:trPr>
          <w:cantSplit w:val="true"/>
        </w:trPr>
        <w:tc>
          <w:tcPr>
            <w:tcW w:type="dxa" w:w="2232"/>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Security</w:t>
            </w:r>
          </w:p>
        </w:tc>
        <w:tc>
          <w:tcPr>
            <w:tcW w:type="dxa" w:w="7488"/>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Authentication failures, access denials, suspicious prompts, guardrail interventions, administrative changes</w:t>
            </w:r>
          </w:p>
        </w:tc>
      </w:tr>
      <w:tr>
        <w:trPr>
          <w:cantSplit w:val="true"/>
        </w:trPr>
        <w:tc>
          <w:tcPr>
            <w:tcW w:type="dxa" w:w="2232"/>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Cost</w:t>
            </w:r>
          </w:p>
        </w:tc>
        <w:tc>
          <w:tcPr>
            <w:tcW w:type="dxa" w:w="7488"/>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Processing cost, storage, OpenSearch capacity, embedding calls, model calls, cost per answered question</w:t>
            </w:r>
          </w:p>
        </w:tc>
      </w:tr>
    </w:tbl>
    <w:p>
      <w:pPr>
        <w:spacing w:after="20"/>
      </w:pPr>
    </w:p>
    <w:p>
      <w:pPr>
        <w:pStyle w:val="Heading2"/>
        <w:keepNext/>
      </w:pPr>
      <w:r>
        <w:rPr>
          <w:rFonts w:ascii="Aptos" w:hAnsi="Aptos"/>
          <w:b/>
          <w:color w:val="000000"/>
          <w:sz w:val="25"/>
        </w:rPr>
        <w:t>Failure Handling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664"/>
            <w:shd w:fill="17365D"/>
            <w:tcMar>
              <w:top w:w="90" w:type="dxa"/>
              <w:start w:w="120" w:type="dxa"/>
              <w:bottom w:w="90" w:type="dxa"/>
              <w:end w:w="120" w:type="dxa"/>
            </w:tcMar>
            <w:vAlign w:val="center"/>
          </w:tcPr>
          <w:p>
            <w:pPr>
              <w:spacing w:after="0"/>
              <w:jc w:val="left"/>
            </w:pPr>
            <w:r>
              <w:rPr>
                <w:rFonts w:ascii="Aptos" w:hAnsi="Aptos"/>
                <w:b/>
                <w:color w:val="FFFFFF"/>
                <w:sz w:val="18"/>
              </w:rPr>
              <w:t>Failure</w:t>
            </w:r>
          </w:p>
        </w:tc>
        <w:tc>
          <w:tcPr>
            <w:tcW w:type="dxa" w:w="7056"/>
            <w:shd w:fill="17365D"/>
            <w:tcMar>
              <w:top w:w="90" w:type="dxa"/>
              <w:start w:w="120" w:type="dxa"/>
              <w:bottom w:w="90" w:type="dxa"/>
              <w:end w:w="120" w:type="dxa"/>
            </w:tcMar>
            <w:vAlign w:val="center"/>
          </w:tcPr>
          <w:p>
            <w:pPr>
              <w:spacing w:after="0"/>
              <w:jc w:val="left"/>
            </w:pPr>
            <w:r>
              <w:rPr>
                <w:rFonts w:ascii="Aptos" w:hAnsi="Aptos"/>
                <w:b/>
                <w:color w:val="FFFFFF"/>
                <w:sz w:val="18"/>
              </w:rPr>
              <w:t>Expected behavior</w:t>
            </w:r>
          </w:p>
        </w:tc>
      </w:tr>
      <w:tr>
        <w:trPr>
          <w:cantSplit w:val="true"/>
        </w:trPr>
        <w:tc>
          <w:tcPr>
            <w:tcW w:type="dxa" w:w="2664"/>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PDF extraction fails</w:t>
            </w:r>
          </w:p>
        </w:tc>
        <w:tc>
          <w:tcPr>
            <w:tcW w:type="dxa" w:w="705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Quarantine the artifact, record the failing pages and tool version, and route to alternative parsing or review</w:t>
            </w:r>
          </w:p>
        </w:tc>
      </w:tr>
      <w:tr>
        <w:trPr>
          <w:cantSplit w:val="true"/>
        </w:trPr>
        <w:tc>
          <w:tcPr>
            <w:tcW w:type="dxa" w:w="2664"/>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Index build fails</w:t>
            </w:r>
          </w:p>
        </w:tc>
        <w:tc>
          <w:tcPr>
            <w:tcW w:type="dxa" w:w="705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Keep the active alias unchanged, retain diagnostics, and retry only idempotent stages</w:t>
            </w:r>
          </w:p>
        </w:tc>
      </w:tr>
      <w:tr>
        <w:trPr>
          <w:cantSplit w:val="true"/>
        </w:trPr>
        <w:tc>
          <w:tcPr>
            <w:tcW w:type="dxa" w:w="2664"/>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OpenSearch is unavailable</w:t>
            </w:r>
          </w:p>
        </w:tc>
        <w:tc>
          <w:tcPr>
            <w:tcW w:type="dxa" w:w="705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Return a clear temporary-unavailable response rather than answering without governed evidence</w:t>
            </w:r>
          </w:p>
        </w:tc>
      </w:tr>
      <w:tr>
        <w:trPr>
          <w:cantSplit w:val="true"/>
        </w:trPr>
        <w:tc>
          <w:tcPr>
            <w:tcW w:type="dxa" w:w="2664"/>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Bedrock model is unavailable</w:t>
            </w:r>
          </w:p>
        </w:tc>
        <w:tc>
          <w:tcPr>
            <w:tcW w:type="dxa" w:w="705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Use a validated fallback only if configured; otherwise return a temporary-unavailable response</w:t>
            </w:r>
          </w:p>
        </w:tc>
      </w:tr>
      <w:tr>
        <w:trPr>
          <w:cantSplit w:val="true"/>
        </w:trPr>
        <w:tc>
          <w:tcPr>
            <w:tcW w:type="dxa" w:w="2664"/>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Citation validation fails</w:t>
            </w:r>
          </w:p>
        </w:tc>
        <w:tc>
          <w:tcPr>
            <w:tcW w:type="dxa" w:w="705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Do not serve the unvalidated answer; retry under controlled rules or refuse</w:t>
            </w:r>
          </w:p>
        </w:tc>
      </w:tr>
      <w:tr>
        <w:trPr>
          <w:cantSplit w:val="true"/>
        </w:trPr>
        <w:tc>
          <w:tcPr>
            <w:tcW w:type="dxa" w:w="2664"/>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Quality regression occurs</w:t>
            </w:r>
          </w:p>
        </w:tc>
        <w:tc>
          <w:tcPr>
            <w:tcW w:type="dxa" w:w="705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Roll back the application, prompt, guardrail, or index alias to the last qualified release</w:t>
            </w:r>
          </w:p>
        </w:tc>
      </w:tr>
    </w:tbl>
    <w:p>
      <w:pPr>
        <w:spacing w:after="20"/>
      </w:pPr>
    </w:p>
    <w:p>
      <w:pPr>
        <w:pStyle w:val="Heading2"/>
        <w:keepNext/>
      </w:pPr>
      <w:r>
        <w:rPr>
          <w:rFonts w:ascii="Aptos" w:hAnsi="Aptos"/>
          <w:b/>
          <w:color w:val="000000"/>
          <w:sz w:val="25"/>
        </w:rPr>
        <w:t>Backup and Recovery</w:t>
      </w:r>
    </w:p>
    <w:p>
      <w:pPr>
        <w:pStyle w:val="ListBullet"/>
        <w:spacing w:after="40" w:line="250" w:lineRule="auto"/>
        <w:ind w:left="360" w:hanging="202"/>
      </w:pPr>
      <w:r>
        <w:rPr>
          <w:rFonts w:ascii="Aptos" w:hAnsi="Aptos"/>
          <w:sz w:val="20"/>
        </w:rPr>
        <w:t>Retain source and processing artifacts in versioned S3 storage with tested recovery procedures.</w:t>
      </w:r>
    </w:p>
    <w:p>
      <w:pPr>
        <w:pStyle w:val="ListBullet"/>
        <w:spacing w:after="40" w:line="250" w:lineRule="auto"/>
        <w:ind w:left="360" w:hanging="202"/>
      </w:pPr>
      <w:r>
        <w:rPr>
          <w:rFonts w:ascii="Aptos" w:hAnsi="Aptos"/>
          <w:sz w:val="20"/>
        </w:rPr>
        <w:t>Back up Aurora according to the required recovery point and recovery time objectives and test restoration.</w:t>
      </w:r>
    </w:p>
    <w:p>
      <w:pPr>
        <w:pStyle w:val="ListBullet"/>
        <w:spacing w:after="40" w:line="250" w:lineRule="auto"/>
        <w:ind w:left="360" w:hanging="202"/>
      </w:pPr>
      <w:r>
        <w:rPr>
          <w:rFonts w:ascii="Aptos" w:hAnsi="Aptos"/>
          <w:sz w:val="20"/>
        </w:rPr>
        <w:t>Use OpenSearch snapshots and reproducible index builds; treat a full rebuild from source manifests as a required recovery path.</w:t>
      </w:r>
    </w:p>
    <w:p>
      <w:pPr>
        <w:pStyle w:val="ListBullet"/>
        <w:spacing w:after="40" w:line="250" w:lineRule="auto"/>
        <w:ind w:left="360" w:hanging="202"/>
      </w:pPr>
      <w:r>
        <w:rPr>
          <w:rFonts w:ascii="Aptos" w:hAnsi="Aptos"/>
          <w:sz w:val="20"/>
        </w:rPr>
        <w:t>Keep deployment artifacts, infrastructure code, prompts, schemas, guardrails, and evaluation datasets version controlled.</w:t>
      </w:r>
    </w:p>
    <w:p>
      <w:pPr>
        <w:pStyle w:val="ListBullet"/>
        <w:spacing w:after="40" w:line="250" w:lineRule="auto"/>
        <w:ind w:left="360" w:hanging="202"/>
      </w:pPr>
      <w:r>
        <w:rPr>
          <w:rFonts w:ascii="Aptos" w:hAnsi="Aptos"/>
          <w:sz w:val="20"/>
        </w:rPr>
        <w:t>Exercise rollback and recovery before delivery acceptance and after material architecture changes.</w:t>
      </w:r>
    </w:p>
    <w:p>
      <w:pPr>
        <w:pStyle w:val="Heading1"/>
        <w:keepNext/>
        <w:pageBreakBefore/>
      </w:pPr>
      <w:r>
        <w:rPr>
          <w:rFonts w:ascii="Aptos" w:hAnsi="Aptos"/>
          <w:b/>
          <w:color w:val="287D8E"/>
          <w:sz w:val="34"/>
        </w:rPr>
        <w:t xml:space="preserve">13  </w:t>
      </w:r>
      <w:r>
        <w:rPr>
          <w:rFonts w:ascii="Aptos" w:hAnsi="Aptos"/>
          <w:b/>
          <w:color w:val="000000"/>
          <w:sz w:val="34"/>
        </w:rPr>
        <w:t>Interfaces and Data Contracts</w:t>
      </w:r>
    </w:p>
    <w:p>
      <w:pPr>
        <w:spacing w:after="200"/>
      </w:pPr>
      <w:r>
        <w:rPr>
          <w:rFonts w:ascii="Aptos" w:hAnsi="Aptos"/>
          <w:i/>
          <w:color w:val="4B5563"/>
          <w:sz w:val="20"/>
        </w:rPr>
        <w:t>Stable boundaries between processing, retrieval, answering, and administration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088"/>
            <w:shd w:fill="17365D"/>
            <w:tcMar>
              <w:top w:w="90" w:type="dxa"/>
              <w:start w:w="120" w:type="dxa"/>
              <w:bottom w:w="90" w:type="dxa"/>
              <w:end w:w="120" w:type="dxa"/>
            </w:tcMar>
            <w:vAlign w:val="center"/>
          </w:tcPr>
          <w:p>
            <w:pPr>
              <w:spacing w:after="0"/>
              <w:jc w:val="left"/>
            </w:pPr>
            <w:r>
              <w:rPr>
                <w:rFonts w:ascii="Aptos" w:hAnsi="Aptos"/>
                <w:b/>
                <w:color w:val="FFFFFF"/>
                <w:sz w:val="18"/>
              </w:rPr>
              <w:t>Interface</w:t>
            </w:r>
          </w:p>
        </w:tc>
        <w:tc>
          <w:tcPr>
            <w:tcW w:type="dxa" w:w="4392"/>
            <w:shd w:fill="17365D"/>
            <w:tcMar>
              <w:top w:w="90" w:type="dxa"/>
              <w:start w:w="120" w:type="dxa"/>
              <w:bottom w:w="90" w:type="dxa"/>
              <w:end w:w="120" w:type="dxa"/>
            </w:tcMar>
            <w:vAlign w:val="center"/>
          </w:tcPr>
          <w:p>
            <w:pPr>
              <w:spacing w:after="0"/>
              <w:jc w:val="left"/>
            </w:pPr>
            <w:r>
              <w:rPr>
                <w:rFonts w:ascii="Aptos" w:hAnsi="Aptos"/>
                <w:b/>
                <w:color w:val="FFFFFF"/>
                <w:sz w:val="18"/>
              </w:rPr>
              <w:t>Request</w:t>
            </w:r>
          </w:p>
        </w:tc>
        <w:tc>
          <w:tcPr>
            <w:tcW w:type="dxa" w:w="3240"/>
            <w:shd w:fill="17365D"/>
            <w:tcMar>
              <w:top w:w="90" w:type="dxa"/>
              <w:start w:w="120" w:type="dxa"/>
              <w:bottom w:w="90" w:type="dxa"/>
              <w:end w:w="120" w:type="dxa"/>
            </w:tcMar>
            <w:vAlign w:val="center"/>
          </w:tcPr>
          <w:p>
            <w:pPr>
              <w:spacing w:after="0"/>
              <w:jc w:val="left"/>
            </w:pPr>
            <w:r>
              <w:rPr>
                <w:rFonts w:ascii="Aptos" w:hAnsi="Aptos"/>
                <w:b/>
                <w:color w:val="FFFFFF"/>
                <w:sz w:val="18"/>
              </w:rPr>
              <w:t>Response</w:t>
            </w:r>
          </w:p>
        </w:tc>
      </w:tr>
      <w:tr>
        <w:trPr>
          <w:cantSplit w:val="true"/>
        </w:trPr>
        <w:tc>
          <w:tcPr>
            <w:tcW w:type="dxa" w:w="208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Register source</w:t>
            </w:r>
          </w:p>
        </w:tc>
        <w:tc>
          <w:tcPr>
            <w:tcW w:type="dxa" w:w="439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Source metadata and S3 object reference</w:t>
            </w:r>
          </w:p>
        </w:tc>
        <w:tc>
          <w:tcPr>
            <w:tcW w:type="dxa" w:w="324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Source ID, validation status, and processing job ID</w:t>
            </w:r>
          </w:p>
        </w:tc>
      </w:tr>
      <w:tr>
        <w:trPr>
          <w:cantSplit w:val="true"/>
        </w:trPr>
        <w:tc>
          <w:tcPr>
            <w:tcW w:type="dxa" w:w="208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Process source</w:t>
            </w:r>
          </w:p>
        </w:tc>
        <w:tc>
          <w:tcPr>
            <w:tcW w:type="dxa" w:w="439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Source ID and pipeline configuration version</w:t>
            </w:r>
          </w:p>
        </w:tc>
        <w:tc>
          <w:tcPr>
            <w:tcW w:type="dxa" w:w="324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Artifact manifest, exception summary, and promotion readiness</w:t>
            </w:r>
          </w:p>
        </w:tc>
      </w:tr>
      <w:tr>
        <w:trPr>
          <w:cantSplit w:val="true"/>
        </w:trPr>
        <w:tc>
          <w:tcPr>
            <w:tcW w:type="dxa" w:w="208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Build index</w:t>
            </w:r>
          </w:p>
        </w:tc>
        <w:tc>
          <w:tcPr>
            <w:tcW w:type="dxa" w:w="439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Source manifest, chunking version, embedding version, and index configuration</w:t>
            </w:r>
          </w:p>
        </w:tc>
        <w:tc>
          <w:tcPr>
            <w:tcW w:type="dxa" w:w="324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Index build ID, counts, checksums, evaluation status</w:t>
            </w:r>
          </w:p>
        </w:tc>
      </w:tr>
      <w:tr>
        <w:trPr>
          <w:cantSplit w:val="true"/>
        </w:trPr>
        <w:tc>
          <w:tcPr>
            <w:tcW w:type="dxa" w:w="208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Retrieve evidence</w:t>
            </w:r>
          </w:p>
        </w:tc>
        <w:tc>
          <w:tcPr>
            <w:tcW w:type="dxa" w:w="439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Question, conversation context reference, user authorization, filters, and retrieval configuration</w:t>
            </w:r>
          </w:p>
        </w:tc>
        <w:tc>
          <w:tcPr>
            <w:tcW w:type="dxa" w:w="324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Ranked chunks, scores, provenance, selected context, and diagnostics</w:t>
            </w:r>
          </w:p>
        </w:tc>
      </w:tr>
      <w:tr>
        <w:trPr>
          <w:cantSplit w:val="true"/>
        </w:trPr>
        <w:tc>
          <w:tcPr>
            <w:tcW w:type="dxa" w:w="208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Generate answer</w:t>
            </w:r>
          </w:p>
        </w:tc>
        <w:tc>
          <w:tcPr>
            <w:tcW w:type="dxa" w:w="439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Question, selected evidence, answer-contract version, model and guardrail version</w:t>
            </w:r>
          </w:p>
        </w:tc>
        <w:tc>
          <w:tcPr>
            <w:tcW w:type="dxa" w:w="324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Answer, citation IDs, validation result, refusal reason, and usage metrics</w:t>
            </w:r>
          </w:p>
        </w:tc>
      </w:tr>
      <w:tr>
        <w:trPr>
          <w:cantSplit w:val="true"/>
        </w:trPr>
        <w:tc>
          <w:tcPr>
            <w:tcW w:type="dxa" w:w="2088"/>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Submit feedback</w:t>
            </w:r>
          </w:p>
        </w:tc>
        <w:tc>
          <w:tcPr>
            <w:tcW w:type="dxa" w:w="4392"/>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Question and answer reference, rating, category, and optional comment</w:t>
            </w:r>
          </w:p>
        </w:tc>
        <w:tc>
          <w:tcPr>
            <w:tcW w:type="dxa" w:w="324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Feedback ID and recorded status</w:t>
            </w:r>
          </w:p>
        </w:tc>
      </w:tr>
      <w:tr>
        <w:trPr>
          <w:cantSplit w:val="true"/>
        </w:trPr>
        <w:tc>
          <w:tcPr>
            <w:tcW w:type="dxa" w:w="2088"/>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Run evaluation</w:t>
            </w:r>
          </w:p>
        </w:tc>
        <w:tc>
          <w:tcPr>
            <w:tcW w:type="dxa" w:w="4392"/>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Dataset version and full system configuration</w:t>
            </w:r>
          </w:p>
        </w:tc>
        <w:tc>
          <w:tcPr>
            <w:tcW w:type="dxa" w:w="324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Per-question results, aggregate metrics, regressions, and qualified or failed status</w:t>
            </w:r>
          </w:p>
        </w:tc>
      </w:tr>
    </w:tbl>
    <w:p>
      <w:pPr>
        <w:spacing w:after="20"/>
      </w:pPr>
    </w:p>
    <w:p>
      <w:pPr>
        <w:pStyle w:val="Heading2"/>
        <w:keepNext/>
      </w:pPr>
      <w:r>
        <w:rPr>
          <w:rFonts w:ascii="Aptos" w:hAnsi="Aptos"/>
          <w:b/>
          <w:color w:val="000000"/>
          <w:sz w:val="25"/>
        </w:rPr>
        <w:t>Contract Rules</w:t>
      </w:r>
    </w:p>
    <w:p>
      <w:pPr>
        <w:pStyle w:val="ListBullet"/>
        <w:spacing w:after="40" w:line="250" w:lineRule="auto"/>
        <w:ind w:left="360" w:hanging="202"/>
      </w:pPr>
      <w:r>
        <w:rPr>
          <w:rFonts w:ascii="Aptos" w:hAnsi="Aptos"/>
          <w:sz w:val="20"/>
        </w:rPr>
        <w:t>Every request and response includes a correlation identifier and explicit schema version.</w:t>
      </w:r>
    </w:p>
    <w:p>
      <w:pPr>
        <w:pStyle w:val="ListBullet"/>
        <w:spacing w:after="40" w:line="250" w:lineRule="auto"/>
        <w:ind w:left="360" w:hanging="202"/>
      </w:pPr>
      <w:r>
        <w:rPr>
          <w:rFonts w:ascii="Aptos" w:hAnsi="Aptos"/>
          <w:sz w:val="20"/>
        </w:rPr>
        <w:t>Service contracts carry identifiers and references rather than copying uncontrolled source files between services.</w:t>
      </w:r>
    </w:p>
    <w:p>
      <w:pPr>
        <w:pStyle w:val="ListBullet"/>
        <w:spacing w:after="40" w:line="250" w:lineRule="auto"/>
        <w:ind w:left="360" w:hanging="202"/>
      </w:pPr>
      <w:r>
        <w:rPr>
          <w:rFonts w:ascii="Aptos" w:hAnsi="Aptos"/>
          <w:sz w:val="20"/>
        </w:rPr>
        <w:t>Authorization is evaluated by the receiving service and is not inferred solely from upstream claims.</w:t>
      </w:r>
    </w:p>
    <w:p>
      <w:pPr>
        <w:pStyle w:val="ListBullet"/>
        <w:spacing w:after="40" w:line="250" w:lineRule="auto"/>
        <w:ind w:left="360" w:hanging="202"/>
      </w:pPr>
      <w:r>
        <w:rPr>
          <w:rFonts w:ascii="Aptos" w:hAnsi="Aptos"/>
          <w:sz w:val="20"/>
        </w:rPr>
        <w:t>Breaking schema changes require a new version and migration or backward-compatibility plan.</w:t>
      </w:r>
    </w:p>
    <w:p>
      <w:pPr>
        <w:pStyle w:val="ListBullet"/>
        <w:spacing w:after="40" w:line="250" w:lineRule="auto"/>
        <w:ind w:left="360" w:hanging="202"/>
      </w:pPr>
      <w:r>
        <w:rPr>
          <w:rFonts w:ascii="Aptos" w:hAnsi="Aptos"/>
          <w:sz w:val="20"/>
        </w:rPr>
        <w:t>Evaluation records capture the complete configuration needed to reproduce a result.</w:t>
      </w:r>
    </w:p>
    <w:p>
      <w:pPr>
        <w:pStyle w:val="Heading1"/>
        <w:keepNext/>
        <w:pageBreakBefore/>
      </w:pPr>
      <w:r>
        <w:rPr>
          <w:rFonts w:ascii="Aptos" w:hAnsi="Aptos"/>
          <w:b/>
          <w:color w:val="287D8E"/>
          <w:sz w:val="34"/>
        </w:rPr>
        <w:t xml:space="preserve">14  </w:t>
      </w:r>
      <w:r>
        <w:rPr>
          <w:rFonts w:ascii="Aptos" w:hAnsi="Aptos"/>
          <w:b/>
          <w:color w:val="000000"/>
          <w:sz w:val="34"/>
        </w:rPr>
        <w:t>Delivery Work Packages and Responsibilities</w:t>
      </w:r>
    </w:p>
    <w:p>
      <w:pPr>
        <w:spacing w:after="200"/>
      </w:pPr>
      <w:r>
        <w:rPr>
          <w:rFonts w:ascii="Aptos" w:hAnsi="Aptos"/>
          <w:i/>
          <w:color w:val="4B5563"/>
          <w:sz w:val="20"/>
        </w:rPr>
        <w:t>How the design becomes a tested and supportable product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val="true"/>
        </w:trPr>
        <w:tc>
          <w:tcPr>
            <w:tcW w:type="dxa" w:w="2376"/>
            <w:shd w:fill="17365D"/>
            <w:tcMar>
              <w:top w:w="90" w:type="dxa"/>
              <w:start w:w="120" w:type="dxa"/>
              <w:bottom w:w="90" w:type="dxa"/>
              <w:end w:w="120" w:type="dxa"/>
            </w:tcMar>
            <w:vAlign w:val="center"/>
          </w:tcPr>
          <w:p>
            <w:pPr>
              <w:spacing w:after="0"/>
              <w:jc w:val="left"/>
            </w:pPr>
            <w:r>
              <w:rPr>
                <w:rFonts w:ascii="Aptos" w:hAnsi="Aptos"/>
                <w:b/>
                <w:color w:val="FFFFFF"/>
                <w:sz w:val="18"/>
              </w:rPr>
              <w:t>Work package</w:t>
            </w:r>
          </w:p>
        </w:tc>
        <w:tc>
          <w:tcPr>
            <w:tcW w:type="dxa" w:w="5040"/>
            <w:shd w:fill="17365D"/>
            <w:tcMar>
              <w:top w:w="90" w:type="dxa"/>
              <w:start w:w="120" w:type="dxa"/>
              <w:bottom w:w="90" w:type="dxa"/>
              <w:end w:w="120" w:type="dxa"/>
            </w:tcMar>
            <w:vAlign w:val="center"/>
          </w:tcPr>
          <w:p>
            <w:pPr>
              <w:spacing w:after="0"/>
              <w:jc w:val="left"/>
            </w:pPr>
            <w:r>
              <w:rPr>
                <w:rFonts w:ascii="Aptos" w:hAnsi="Aptos"/>
                <w:b/>
                <w:color w:val="FFFFFF"/>
                <w:sz w:val="18"/>
              </w:rPr>
              <w:t>Principal outputs</w:t>
            </w:r>
          </w:p>
        </w:tc>
        <w:tc>
          <w:tcPr>
            <w:tcW w:type="dxa" w:w="2304"/>
            <w:shd w:fill="17365D"/>
            <w:tcMar>
              <w:top w:w="90" w:type="dxa"/>
              <w:start w:w="120" w:type="dxa"/>
              <w:bottom w:w="90" w:type="dxa"/>
              <w:end w:w="120" w:type="dxa"/>
            </w:tcMar>
            <w:vAlign w:val="center"/>
          </w:tcPr>
          <w:p>
            <w:pPr>
              <w:spacing w:after="0"/>
              <w:jc w:val="left"/>
            </w:pPr>
            <w:r>
              <w:rPr>
                <w:rFonts w:ascii="Aptos" w:hAnsi="Aptos"/>
                <w:b/>
                <w:color w:val="FFFFFF"/>
                <w:sz w:val="18"/>
              </w:rPr>
              <w:t>Primary emphasis</w:t>
            </w:r>
          </w:p>
        </w:tc>
      </w:tr>
      <w:tr>
        <w:trPr>
          <w:cantSplit w:val="true"/>
        </w:trPr>
        <w:tc>
          <w:tcPr>
            <w:tcW w:type="dxa" w:w="2376"/>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1  Corpus and preprocessing</w:t>
            </w:r>
          </w:p>
        </w:tc>
        <w:tc>
          <w:tcPr>
            <w:tcW w:type="dxa" w:w="504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Source registry, PDF validation, extraction, Markdown conversion, structure checks, exception handling</w:t>
            </w:r>
          </w:p>
        </w:tc>
        <w:tc>
          <w:tcPr>
            <w:tcW w:type="dxa" w:w="230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Accurate and reviewable source representation</w:t>
            </w:r>
          </w:p>
        </w:tc>
      </w:tr>
      <w:tr>
        <w:trPr>
          <w:cantSplit w:val="true"/>
        </w:trPr>
        <w:tc>
          <w:tcPr>
            <w:tcW w:type="dxa" w:w="2376"/>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2  Metadata and chunking</w:t>
            </w:r>
          </w:p>
        </w:tc>
        <w:tc>
          <w:tcPr>
            <w:tcW w:type="dxa" w:w="504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CSF hierarchy model, metadata enrichment, chunker, deterministic IDs, chunk evaluation</w:t>
            </w:r>
          </w:p>
        </w:tc>
        <w:tc>
          <w:tcPr>
            <w:tcW w:type="dxa" w:w="230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Evidence coherence and traceability</w:t>
            </w:r>
          </w:p>
        </w:tc>
      </w:tr>
      <w:tr>
        <w:trPr>
          <w:cantSplit w:val="true"/>
        </w:trPr>
        <w:tc>
          <w:tcPr>
            <w:tcW w:type="dxa" w:w="2376"/>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3  Storage and retrieval</w:t>
            </w:r>
          </w:p>
        </w:tc>
        <w:tc>
          <w:tcPr>
            <w:tcW w:type="dxa" w:w="504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S3 zones, Aurora schema, OpenSearch mappings, embeddings, hybrid search, reranking</w:t>
            </w:r>
          </w:p>
        </w:tc>
        <w:tc>
          <w:tcPr>
            <w:tcW w:type="dxa" w:w="230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Retrieval quality and reproducibility</w:t>
            </w:r>
          </w:p>
        </w:tc>
      </w:tr>
      <w:tr>
        <w:trPr>
          <w:cantSplit w:val="true"/>
        </w:trPr>
        <w:tc>
          <w:tcPr>
            <w:tcW w:type="dxa" w:w="2376"/>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4  Answer experience</w:t>
            </w:r>
          </w:p>
        </w:tc>
        <w:tc>
          <w:tcPr>
            <w:tcW w:type="dxa" w:w="504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Chat APIs and UI, answer contract, citations, source viewer, feedback, refusal behavior</w:t>
            </w:r>
          </w:p>
        </w:tc>
        <w:tc>
          <w:tcPr>
            <w:tcW w:type="dxa" w:w="230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Useful and verifiable answers</w:t>
            </w:r>
          </w:p>
        </w:tc>
      </w:tr>
      <w:tr>
        <w:trPr>
          <w:cantSplit w:val="true"/>
        </w:trPr>
        <w:tc>
          <w:tcPr>
            <w:tcW w:type="dxa" w:w="2376"/>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5  Evaluation and red team</w:t>
            </w:r>
          </w:p>
        </w:tc>
        <w:tc>
          <w:tcPr>
            <w:tcW w:type="dxa" w:w="504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Golden set, automated harness, dashboards, attack cases, regression gates</w:t>
            </w:r>
          </w:p>
        </w:tc>
        <w:tc>
          <w:tcPr>
            <w:tcW w:type="dxa" w:w="230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Evaluation-driven improvement and safety</w:t>
            </w:r>
          </w:p>
        </w:tc>
      </w:tr>
      <w:tr>
        <w:trPr>
          <w:cantSplit w:val="true"/>
        </w:trPr>
        <w:tc>
          <w:tcPr>
            <w:tcW w:type="dxa" w:w="2376"/>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6  AWS platform and operations</w:t>
            </w:r>
          </w:p>
        </w:tc>
        <w:tc>
          <w:tcPr>
            <w:tcW w:type="dxa" w:w="5040"/>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Infrastructure as code, identity, networking, deployment, monitoring, backup, recovery, runbooks</w:t>
            </w:r>
          </w:p>
        </w:tc>
        <w:tc>
          <w:tcPr>
            <w:tcW w:type="dxa" w:w="2304"/>
            <w:shd w:fill="EAF2F8"/>
            <w:tcMar>
              <w:top w:w="80" w:type="dxa"/>
              <w:start w:w="120" w:type="dxa"/>
              <w:bottom w:w="80" w:type="dxa"/>
              <w:end w:w="120" w:type="dxa"/>
            </w:tcMar>
            <w:vAlign w:val="center"/>
          </w:tcPr>
          <w:p>
            <w:pPr>
              <w:spacing w:after="0" w:line="252" w:lineRule="auto"/>
              <w:jc w:val="left"/>
            </w:pPr>
            <w:r>
              <w:rPr>
                <w:rFonts w:ascii="Aptos" w:hAnsi="Aptos"/>
                <w:color w:val="000000"/>
                <w:sz w:val="16"/>
              </w:rPr>
              <w:t>Secure and supportable service</w:t>
            </w:r>
          </w:p>
        </w:tc>
      </w:tr>
      <w:tr>
        <w:trPr>
          <w:cantSplit w:val="true"/>
        </w:trPr>
        <w:tc>
          <w:tcPr>
            <w:tcW w:type="dxa" w:w="2376"/>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7  Acceptance and handover</w:t>
            </w:r>
          </w:p>
        </w:tc>
        <w:tc>
          <w:tcPr>
            <w:tcW w:type="dxa" w:w="5040"/>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Traceability, test evidence, known limitations, operational walkthrough, release record</w:t>
            </w:r>
          </w:p>
        </w:tc>
        <w:tc>
          <w:tcPr>
            <w:tcW w:type="dxa" w:w="2304"/>
            <w:shd w:fill="FFFFFF"/>
            <w:tcMar>
              <w:top w:w="80" w:type="dxa"/>
              <w:start w:w="120" w:type="dxa"/>
              <w:bottom w:w="80" w:type="dxa"/>
              <w:end w:w="120" w:type="dxa"/>
            </w:tcMar>
            <w:vAlign w:val="center"/>
          </w:tcPr>
          <w:p>
            <w:pPr>
              <w:spacing w:after="0" w:line="252" w:lineRule="auto"/>
              <w:jc w:val="left"/>
            </w:pPr>
            <w:r>
              <w:rPr>
                <w:rFonts w:ascii="Aptos" w:hAnsi="Aptos"/>
                <w:color w:val="000000"/>
                <w:sz w:val="16"/>
              </w:rPr>
              <w:t>Complete delivery package</w:t>
            </w:r>
          </w:p>
        </w:tc>
      </w:tr>
    </w:tbl>
    <w:p>
      <w:pPr>
        <w:spacing w:after="20"/>
      </w:pPr>
    </w:p>
    <w:p>
      <w:pPr>
        <w:pStyle w:val="Heading2"/>
        <w:keepNext/>
      </w:pPr>
      <w:r>
        <w:rPr>
          <w:rFonts w:ascii="Aptos" w:hAnsi="Aptos"/>
          <w:b/>
          <w:color w:val="000000"/>
          <w:sz w:val="25"/>
        </w:rPr>
        <w:t>Team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880"/>
            <w:shd w:fill="17365D"/>
            <w:tcMar>
              <w:top w:w="90" w:type="dxa"/>
              <w:start w:w="120" w:type="dxa"/>
              <w:bottom w:w="90" w:type="dxa"/>
              <w:end w:w="120" w:type="dxa"/>
            </w:tcMar>
            <w:vAlign w:val="center"/>
          </w:tcPr>
          <w:p>
            <w:pPr>
              <w:spacing w:after="0"/>
              <w:jc w:val="left"/>
            </w:pPr>
            <w:r>
              <w:rPr>
                <w:rFonts w:ascii="Aptos" w:hAnsi="Aptos"/>
                <w:b/>
                <w:color w:val="FFFFFF"/>
                <w:sz w:val="18"/>
              </w:rPr>
              <w:t>Team member</w:t>
            </w:r>
          </w:p>
        </w:tc>
        <w:tc>
          <w:tcPr>
            <w:tcW w:type="dxa" w:w="6840"/>
            <w:shd w:fill="17365D"/>
            <w:tcMar>
              <w:top w:w="90" w:type="dxa"/>
              <w:start w:w="120" w:type="dxa"/>
              <w:bottom w:w="90" w:type="dxa"/>
              <w:end w:w="120" w:type="dxa"/>
            </w:tcMar>
            <w:vAlign w:val="center"/>
          </w:tcPr>
          <w:p>
            <w:pPr>
              <w:spacing w:after="0"/>
              <w:jc w:val="left"/>
            </w:pPr>
            <w:r>
              <w:rPr>
                <w:rFonts w:ascii="Aptos" w:hAnsi="Aptos"/>
                <w:b/>
                <w:color w:val="FFFFFF"/>
                <w:sz w:val="18"/>
              </w:rPr>
              <w:t>Responsibilities in this design</w:t>
            </w:r>
          </w:p>
        </w:tc>
      </w:tr>
      <w:tr>
        <w:trPr>
          <w:cantSplit w:val="true"/>
        </w:trPr>
        <w:tc>
          <w:tcPr>
            <w:tcW w:type="dxa" w:w="288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Sara Selvaraju  Lead developer</w:t>
            </w:r>
          </w:p>
        </w:tc>
        <w:tc>
          <w:tcPr>
            <w:tcW w:type="dxa" w:w="6840"/>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Lead design decisions, architecture integration, product and technical analysis, delivery coordination, quality gates, release readiness, implementation, and testing</w:t>
            </w:r>
          </w:p>
        </w:tc>
      </w:tr>
      <w:tr>
        <w:trPr>
          <w:cantSplit w:val="true"/>
        </w:trPr>
        <w:tc>
          <w:tcPr>
            <w:tcW w:type="dxa" w:w="288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Rajan Hans  Developer</w:t>
            </w:r>
          </w:p>
        </w:tc>
        <w:tc>
          <w:tcPr>
            <w:tcW w:type="dxa" w:w="6840"/>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Co-develop product and technical analysis; implement preprocessing, RAG, application, data, and AWS work; build and run evals; execute integration, performance, security-supporting, and acceptance testing</w:t>
            </w:r>
          </w:p>
        </w:tc>
      </w:tr>
    </w:tbl>
    <w:p>
      <w:pPr>
        <w:spacing w:after="20"/>
      </w:pPr>
    </w:p>
    <w:p>
      <w:pPr>
        <w:spacing w:after="80" w:line="254" w:lineRule="auto"/>
      </w:pPr>
      <w:r>
        <w:rPr>
          <w:rFonts w:ascii="Aptos" w:hAnsi="Aptos"/>
          <w:sz w:val="20"/>
        </w:rPr>
        <w:t>Both developers jointly own the golden set, requirements traceability, test design, test execution, design updates, peer review, operational documentation, and correction of regressions. Major parameter choices must be recorded with the evaluation evidence that supports them.</w:t>
      </w:r>
    </w:p>
    <w:p>
      <w:pPr>
        <w:pStyle w:val="Heading2"/>
        <w:keepNext/>
      </w:pPr>
      <w:r>
        <w:rPr>
          <w:rFonts w:ascii="Aptos" w:hAnsi="Aptos"/>
          <w:b/>
          <w:color w:val="000000"/>
          <w:sz w:val="25"/>
        </w:rPr>
        <w:t>Design Completion Criteria</w:t>
      </w:r>
    </w:p>
    <w:p>
      <w:pPr>
        <w:pStyle w:val="ListBullet"/>
        <w:spacing w:after="40" w:line="250" w:lineRule="auto"/>
        <w:ind w:left="360" w:hanging="202"/>
      </w:pPr>
      <w:r>
        <w:rPr>
          <w:rFonts w:ascii="Aptos" w:hAnsi="Aptos"/>
          <w:sz w:val="20"/>
        </w:rPr>
        <w:t>Every PRD must-have requirement maps to one or more design components and verification activities.</w:t>
      </w:r>
    </w:p>
    <w:p>
      <w:pPr>
        <w:pStyle w:val="ListBullet"/>
        <w:spacing w:after="40" w:line="250" w:lineRule="auto"/>
        <w:ind w:left="360" w:hanging="202"/>
      </w:pPr>
      <w:r>
        <w:rPr>
          <w:rFonts w:ascii="Aptos" w:hAnsi="Aptos"/>
          <w:sz w:val="20"/>
        </w:rPr>
        <w:t>The preprocessing, metadata, chunking, storage, retrieval, answer, guardrail, and evaluation designs are implemented and version controlled.</w:t>
      </w:r>
    </w:p>
    <w:p>
      <w:pPr>
        <w:pStyle w:val="ListBullet"/>
        <w:spacing w:after="40" w:line="250" w:lineRule="auto"/>
        <w:ind w:left="360" w:hanging="202"/>
      </w:pPr>
      <w:r>
        <w:rPr>
          <w:rFonts w:ascii="Aptos" w:hAnsi="Aptos"/>
          <w:sz w:val="20"/>
        </w:rPr>
        <w:t>The 50-question golden set is reviewed, runnable, and produces a reproducible baseline report.</w:t>
      </w:r>
    </w:p>
    <w:p>
      <w:pPr>
        <w:pStyle w:val="ListBullet"/>
        <w:spacing w:after="40" w:line="250" w:lineRule="auto"/>
        <w:ind w:left="360" w:hanging="202"/>
      </w:pPr>
      <w:r>
        <w:rPr>
          <w:rFonts w:ascii="Aptos" w:hAnsi="Aptos"/>
          <w:sz w:val="20"/>
        </w:rPr>
        <w:t>The full evaluation suite meets the release thresholds with no unresolved critical red-team failure.</w:t>
      </w:r>
    </w:p>
    <w:p>
      <w:pPr>
        <w:pStyle w:val="ListBullet"/>
        <w:spacing w:after="40" w:line="250" w:lineRule="auto"/>
        <w:ind w:left="360" w:hanging="202"/>
      </w:pPr>
      <w:r>
        <w:rPr>
          <w:rFonts w:ascii="Aptos" w:hAnsi="Aptos"/>
          <w:sz w:val="20"/>
        </w:rPr>
        <w:t>AWS environments can be recreated from infrastructure as code and meet security, observability, backup, recovery, and cost-control requirements.</w:t>
      </w:r>
    </w:p>
    <w:p>
      <w:pPr>
        <w:pStyle w:val="ListBullet"/>
        <w:spacing w:after="40" w:line="250" w:lineRule="auto"/>
        <w:ind w:left="360" w:hanging="202"/>
      </w:pPr>
      <w:r>
        <w:rPr>
          <w:rFonts w:ascii="Aptos" w:hAnsi="Aptos"/>
          <w:sz w:val="20"/>
        </w:rPr>
        <w:t>The delivery package contains current architecture, schemas, configurations, runbooks, evaluation evidence, known limitations, and support guidance.</w:t>
      </w:r>
    </w:p>
    <w:p>
      <w:pPr>
        <w:pStyle w:val="Heading1"/>
        <w:keepNext/>
        <w:pageBreakBefore/>
      </w:pPr>
      <w:r>
        <w:rPr>
          <w:rFonts w:ascii="Aptos" w:hAnsi="Aptos"/>
          <w:b/>
          <w:color w:val="287D8E"/>
          <w:sz w:val="34"/>
        </w:rPr>
        <w:t xml:space="preserve">A  </w:t>
      </w:r>
      <w:r>
        <w:rPr>
          <w:rFonts w:ascii="Aptos" w:hAnsi="Aptos"/>
          <w:b/>
          <w:color w:val="000000"/>
          <w:sz w:val="34"/>
        </w:rPr>
        <w:t>Appendix Design Decisions and Experiments</w:t>
      </w:r>
    </w:p>
    <w:p>
      <w:pPr>
        <w:spacing w:after="200"/>
      </w:pPr>
      <w:r>
        <w:rPr>
          <w:rFonts w:ascii="Aptos" w:hAnsi="Aptos"/>
          <w:i/>
          <w:color w:val="4B5563"/>
          <w:sz w:val="20"/>
        </w:rPr>
        <w:t>Parameters that will be finalized through measured comparison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cantSplit w:val="true"/>
        </w:trPr>
        <w:tc>
          <w:tcPr>
            <w:tcW w:type="dxa" w:w="1728"/>
            <w:shd w:fill="17365D"/>
            <w:tcMar>
              <w:top w:w="90" w:type="dxa"/>
              <w:start w:w="120" w:type="dxa"/>
              <w:bottom w:w="90" w:type="dxa"/>
              <w:end w:w="120" w:type="dxa"/>
            </w:tcMar>
            <w:vAlign w:val="center"/>
          </w:tcPr>
          <w:p>
            <w:pPr>
              <w:spacing w:after="0"/>
              <w:jc w:val="left"/>
            </w:pPr>
            <w:r>
              <w:rPr>
                <w:rFonts w:ascii="Aptos" w:hAnsi="Aptos"/>
                <w:b/>
                <w:color w:val="FFFFFF"/>
                <w:sz w:val="18"/>
              </w:rPr>
              <w:t>Topic</w:t>
            </w:r>
          </w:p>
        </w:tc>
        <w:tc>
          <w:tcPr>
            <w:tcW w:type="dxa" w:w="2951"/>
            <w:shd w:fill="17365D"/>
            <w:tcMar>
              <w:top w:w="90" w:type="dxa"/>
              <w:start w:w="120" w:type="dxa"/>
              <w:bottom w:w="90" w:type="dxa"/>
              <w:end w:w="120" w:type="dxa"/>
            </w:tcMar>
            <w:vAlign w:val="center"/>
          </w:tcPr>
          <w:p>
            <w:pPr>
              <w:spacing w:after="0"/>
              <w:jc w:val="left"/>
            </w:pPr>
            <w:r>
              <w:rPr>
                <w:rFonts w:ascii="Aptos" w:hAnsi="Aptos"/>
                <w:b/>
                <w:color w:val="FFFFFF"/>
                <w:sz w:val="18"/>
              </w:rPr>
              <w:t>Baseline</w:t>
            </w:r>
          </w:p>
        </w:tc>
        <w:tc>
          <w:tcPr>
            <w:tcW w:type="dxa" w:w="2951"/>
            <w:shd w:fill="17365D"/>
            <w:tcMar>
              <w:top w:w="90" w:type="dxa"/>
              <w:start w:w="120" w:type="dxa"/>
              <w:bottom w:w="90" w:type="dxa"/>
              <w:end w:w="120" w:type="dxa"/>
            </w:tcMar>
            <w:vAlign w:val="center"/>
          </w:tcPr>
          <w:p>
            <w:pPr>
              <w:spacing w:after="0"/>
              <w:jc w:val="left"/>
            </w:pPr>
            <w:r>
              <w:rPr>
                <w:rFonts w:ascii="Aptos" w:hAnsi="Aptos"/>
                <w:b/>
                <w:color w:val="FFFFFF"/>
                <w:sz w:val="18"/>
              </w:rPr>
              <w:t>Alternatives to evaluate</w:t>
            </w:r>
          </w:p>
        </w:tc>
        <w:tc>
          <w:tcPr>
            <w:tcW w:type="dxa" w:w="2088"/>
            <w:shd w:fill="17365D"/>
            <w:tcMar>
              <w:top w:w="90" w:type="dxa"/>
              <w:start w:w="120" w:type="dxa"/>
              <w:bottom w:w="90" w:type="dxa"/>
              <w:end w:w="120" w:type="dxa"/>
            </w:tcMar>
            <w:vAlign w:val="center"/>
          </w:tcPr>
          <w:p>
            <w:pPr>
              <w:spacing w:after="0"/>
              <w:jc w:val="left"/>
            </w:pPr>
            <w:r>
              <w:rPr>
                <w:rFonts w:ascii="Aptos" w:hAnsi="Aptos"/>
                <w:b/>
                <w:color w:val="FFFFFF"/>
                <w:sz w:val="18"/>
              </w:rPr>
              <w:t>Decision evidence</w:t>
            </w:r>
          </w:p>
        </w:tc>
      </w:tr>
      <w:tr>
        <w:trPr>
          <w:cantSplit w:val="true"/>
        </w:trPr>
        <w:tc>
          <w:tcPr>
            <w:tcW w:type="dxa" w:w="1728"/>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PDF extraction</w:t>
            </w:r>
          </w:p>
        </w:tc>
        <w:tc>
          <w:tcPr>
            <w:tcW w:type="dxa" w:w="2951"/>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Native PDF parser with Textract fallback</w:t>
            </w:r>
          </w:p>
        </w:tc>
        <w:tc>
          <w:tcPr>
            <w:tcW w:type="dxa" w:w="2951"/>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Alternative parsers, Textract-first for selected layouts</w:t>
            </w:r>
          </w:p>
        </w:tc>
        <w:tc>
          <w:tcPr>
            <w:tcW w:type="dxa" w:w="2088"/>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Text and structure fidelity, exception rate, cost, processing time</w:t>
            </w:r>
          </w:p>
        </w:tc>
      </w:tr>
      <w:tr>
        <w:trPr>
          <w:cantSplit w:val="true"/>
        </w:trPr>
        <w:tc>
          <w:tcPr>
            <w:tcW w:type="dxa" w:w="1728"/>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Working representation</w:t>
            </w:r>
          </w:p>
        </w:tc>
        <w:tc>
          <w:tcPr>
            <w:tcW w:type="dxa" w:w="2951"/>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Page-linked Markdown plus extraction JSON</w:t>
            </w:r>
          </w:p>
        </w:tc>
        <w:tc>
          <w:tcPr>
            <w:tcW w:type="dxa" w:w="2951"/>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Structured HTML or document object model</w:t>
            </w:r>
          </w:p>
        </w:tc>
        <w:tc>
          <w:tcPr>
            <w:tcW w:type="dxa" w:w="2088"/>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Reviewability, chunking reliability, table fidelity, reproducibility</w:t>
            </w:r>
          </w:p>
        </w:tc>
      </w:tr>
      <w:tr>
        <w:trPr>
          <w:cantSplit w:val="true"/>
        </w:trPr>
        <w:tc>
          <w:tcPr>
            <w:tcW w:type="dxa" w:w="1728"/>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Chunking</w:t>
            </w:r>
          </w:p>
        </w:tc>
        <w:tc>
          <w:tcPr>
            <w:tcW w:type="dxa" w:w="2951"/>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CSF structure-aware chunks</w:t>
            </w:r>
          </w:p>
        </w:tc>
        <w:tc>
          <w:tcPr>
            <w:tcW w:type="dxa" w:w="2951"/>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Fixed windows, parent-child chunks, semantic splitting</w:t>
            </w:r>
          </w:p>
        </w:tc>
        <w:tc>
          <w:tcPr>
            <w:tcW w:type="dxa" w:w="2088"/>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Golden-set retrieval and citation results</w:t>
            </w:r>
          </w:p>
        </w:tc>
      </w:tr>
      <w:tr>
        <w:trPr>
          <w:cantSplit w:val="true"/>
        </w:trPr>
        <w:tc>
          <w:tcPr>
            <w:tcW w:type="dxa" w:w="1728"/>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Embedding</w:t>
            </w:r>
          </w:p>
        </w:tc>
        <w:tc>
          <w:tcPr>
            <w:tcW w:type="dxa" w:w="2951"/>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Titan Text Embeddings V2 candidate</w:t>
            </w:r>
          </w:p>
        </w:tc>
        <w:tc>
          <w:tcPr>
            <w:tcW w:type="dxa" w:w="2951"/>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Other approved Bedrock embedding models and supported dimensions</w:t>
            </w:r>
          </w:p>
        </w:tc>
        <w:tc>
          <w:tcPr>
            <w:tcW w:type="dxa" w:w="2088"/>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Recall, latency, storage, regional availability, cost</w:t>
            </w:r>
          </w:p>
        </w:tc>
      </w:tr>
      <w:tr>
        <w:trPr>
          <w:cantSplit w:val="true"/>
        </w:trPr>
        <w:tc>
          <w:tcPr>
            <w:tcW w:type="dxa" w:w="1728"/>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Fusion</w:t>
            </w:r>
          </w:p>
        </w:tc>
        <w:tc>
          <w:tcPr>
            <w:tcW w:type="dxa" w:w="2951"/>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Reciprocal rank fusion</w:t>
            </w:r>
          </w:p>
        </w:tc>
        <w:tc>
          <w:tcPr>
            <w:tcW w:type="dxa" w:w="2951"/>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Score normalization with tuned weights</w:t>
            </w:r>
          </w:p>
        </w:tc>
        <w:tc>
          <w:tcPr>
            <w:tcW w:type="dxa" w:w="2088"/>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Retrieval metrics and failure analysis</w:t>
            </w:r>
          </w:p>
        </w:tc>
      </w:tr>
      <w:tr>
        <w:trPr>
          <w:cantSplit w:val="true"/>
        </w:trPr>
        <w:tc>
          <w:tcPr>
            <w:tcW w:type="dxa" w:w="1728"/>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Reranking</w:t>
            </w:r>
          </w:p>
        </w:tc>
        <w:tc>
          <w:tcPr>
            <w:tcW w:type="dxa" w:w="2951"/>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Candidate reranker after hybrid retrieval</w:t>
            </w:r>
          </w:p>
        </w:tc>
        <w:tc>
          <w:tcPr>
            <w:tcW w:type="dxa" w:w="2951"/>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No reranker or alternative approved rerankers</w:t>
            </w:r>
          </w:p>
        </w:tc>
        <w:tc>
          <w:tcPr>
            <w:tcW w:type="dxa" w:w="2088"/>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Ranking improvement, latency, cost</w:t>
            </w:r>
          </w:p>
        </w:tc>
      </w:tr>
      <w:tr>
        <w:trPr>
          <w:cantSplit w:val="true"/>
        </w:trPr>
        <w:tc>
          <w:tcPr>
            <w:tcW w:type="dxa" w:w="1728"/>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Generation model</w:t>
            </w:r>
          </w:p>
        </w:tc>
        <w:tc>
          <w:tcPr>
            <w:tcW w:type="dxa" w:w="2951"/>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Approved Bedrock model selected through evals</w:t>
            </w:r>
          </w:p>
        </w:tc>
        <w:tc>
          <w:tcPr>
            <w:tcW w:type="dxa" w:w="2951"/>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Other models available in the chosen Region</w:t>
            </w:r>
          </w:p>
        </w:tc>
        <w:tc>
          <w:tcPr>
            <w:tcW w:type="dxa" w:w="2088"/>
            <w:shd w:fill="FFFFFF"/>
            <w:tcMar>
              <w:top w:w="80" w:type="dxa"/>
              <w:start w:w="120" w:type="dxa"/>
              <w:bottom w:w="80" w:type="dxa"/>
              <w:end w:w="120" w:type="dxa"/>
            </w:tcMar>
            <w:vAlign w:val="center"/>
          </w:tcPr>
          <w:p>
            <w:pPr>
              <w:spacing w:after="0" w:line="252" w:lineRule="auto"/>
              <w:jc w:val="left"/>
            </w:pPr>
            <w:r>
              <w:rPr>
                <w:rFonts w:ascii="Aptos" w:hAnsi="Aptos"/>
                <w:color w:val="000000"/>
                <w:sz w:val="15"/>
              </w:rPr>
              <w:t>Accuracy, citations, refusal, latency, cost, safety</w:t>
            </w:r>
          </w:p>
        </w:tc>
      </w:tr>
      <w:tr>
        <w:trPr>
          <w:cantSplit w:val="true"/>
        </w:trPr>
        <w:tc>
          <w:tcPr>
            <w:tcW w:type="dxa" w:w="1728"/>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Guardrails</w:t>
            </w:r>
          </w:p>
        </w:tc>
        <w:tc>
          <w:tcPr>
            <w:tcW w:type="dxa" w:w="2951"/>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Application controls plus versioned Bedrock Guardrails</w:t>
            </w:r>
          </w:p>
        </w:tc>
        <w:tc>
          <w:tcPr>
            <w:tcW w:type="dxa" w:w="2951"/>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Different thresholds and policy combinations</w:t>
            </w:r>
          </w:p>
        </w:tc>
        <w:tc>
          <w:tcPr>
            <w:tcW w:type="dxa" w:w="2088"/>
            <w:shd w:fill="EAF2F8"/>
            <w:tcMar>
              <w:top w:w="80" w:type="dxa"/>
              <w:start w:w="120" w:type="dxa"/>
              <w:bottom w:w="80" w:type="dxa"/>
              <w:end w:w="120" w:type="dxa"/>
            </w:tcMar>
            <w:vAlign w:val="center"/>
          </w:tcPr>
          <w:p>
            <w:pPr>
              <w:spacing w:after="0" w:line="252" w:lineRule="auto"/>
              <w:jc w:val="left"/>
            </w:pPr>
            <w:r>
              <w:rPr>
                <w:rFonts w:ascii="Aptos" w:hAnsi="Aptos"/>
                <w:color w:val="000000"/>
                <w:sz w:val="15"/>
              </w:rPr>
              <w:t>Red-team pass rate and false-block analysis</w:t>
            </w:r>
          </w:p>
        </w:tc>
      </w:tr>
    </w:tbl>
    <w:p>
      <w:pPr>
        <w:spacing w:after="20"/>
      </w:pPr>
    </w:p>
    <w:p>
      <w:pPr>
        <w:pStyle w:val="Heading2"/>
        <w:keepNext/>
      </w:pPr>
      <w:r>
        <w:rPr>
          <w:rFonts w:ascii="Aptos" w:hAnsi="Aptos"/>
          <w:b/>
          <w:color w:val="000000"/>
          <w:sz w:val="25"/>
        </w:rPr>
        <w:t>Decision Record Minimum</w:t>
      </w:r>
    </w:p>
    <w:p>
      <w:pPr>
        <w:pStyle w:val="ListBullet"/>
        <w:spacing w:after="40" w:line="250" w:lineRule="auto"/>
        <w:ind w:left="360" w:hanging="202"/>
      </w:pPr>
      <w:r>
        <w:rPr>
          <w:rFonts w:ascii="Aptos" w:hAnsi="Aptos"/>
          <w:sz w:val="20"/>
        </w:rPr>
        <w:t>Question being decided and why it matters</w:t>
      </w:r>
    </w:p>
    <w:p>
      <w:pPr>
        <w:pStyle w:val="ListBullet"/>
        <w:spacing w:after="40" w:line="250" w:lineRule="auto"/>
        <w:ind w:left="360" w:hanging="202"/>
      </w:pPr>
      <w:r>
        <w:rPr>
          <w:rFonts w:ascii="Aptos" w:hAnsi="Aptos"/>
          <w:sz w:val="20"/>
        </w:rPr>
        <w:t>Options and configurations tested</w:t>
      </w:r>
    </w:p>
    <w:p>
      <w:pPr>
        <w:pStyle w:val="ListBullet"/>
        <w:spacing w:after="40" w:line="250" w:lineRule="auto"/>
        <w:ind w:left="360" w:hanging="202"/>
      </w:pPr>
      <w:r>
        <w:rPr>
          <w:rFonts w:ascii="Aptos" w:hAnsi="Aptos"/>
          <w:sz w:val="20"/>
        </w:rPr>
        <w:t>Dataset and system versions used</w:t>
      </w:r>
    </w:p>
    <w:p>
      <w:pPr>
        <w:pStyle w:val="ListBullet"/>
        <w:spacing w:after="40" w:line="250" w:lineRule="auto"/>
        <w:ind w:left="360" w:hanging="202"/>
      </w:pPr>
      <w:r>
        <w:rPr>
          <w:rFonts w:ascii="Aptos" w:hAnsi="Aptos"/>
          <w:sz w:val="20"/>
        </w:rPr>
        <w:t>Measured results, failure analysis, cost, and operational tradeoffs</w:t>
      </w:r>
    </w:p>
    <w:p>
      <w:pPr>
        <w:pStyle w:val="ListBullet"/>
        <w:spacing w:after="40" w:line="250" w:lineRule="auto"/>
        <w:ind w:left="360" w:hanging="202"/>
      </w:pPr>
      <w:r>
        <w:rPr>
          <w:rFonts w:ascii="Aptos" w:hAnsi="Aptos"/>
          <w:sz w:val="20"/>
        </w:rPr>
        <w:t>Selected option, owner, date, and conditions that would trigger reconsideration</w:t>
      </w:r>
    </w:p>
    <w:p>
      <w:pPr>
        <w:pStyle w:val="Heading1"/>
        <w:keepNext/>
        <w:pageBreakBefore/>
      </w:pPr>
      <w:r>
        <w:rPr>
          <w:rFonts w:ascii="Aptos" w:hAnsi="Aptos"/>
          <w:b/>
          <w:color w:val="287D8E"/>
          <w:sz w:val="34"/>
        </w:rPr>
        <w:t xml:space="preserve">B  </w:t>
      </w:r>
      <w:r>
        <w:rPr>
          <w:rFonts w:ascii="Aptos" w:hAnsi="Aptos"/>
          <w:b/>
          <w:color w:val="000000"/>
          <w:sz w:val="34"/>
        </w:rPr>
        <w:t>Appendix References</w:t>
      </w:r>
    </w:p>
    <w:p>
      <w:pPr>
        <w:spacing w:after="200"/>
      </w:pPr>
      <w:r>
        <w:rPr>
          <w:rFonts w:ascii="Aptos" w:hAnsi="Aptos"/>
          <w:i/>
          <w:color w:val="4B5563"/>
          <w:sz w:val="20"/>
        </w:rPr>
        <w:t>Authoritative sources used to frame the design</w:t>
      </w:r>
    </w:p>
    <w:p>
      <w:pPr>
        <w:spacing w:after="160"/>
        <w:ind w:left="403" w:hanging="403"/>
      </w:pPr>
      <w:r>
        <w:rPr>
          <w:rFonts w:ascii="Aptos" w:hAnsi="Aptos"/>
          <w:sz w:val="19"/>
        </w:rPr>
        <w:t xml:space="preserve">1. National Institute of Standards and Technology. The NIST Cybersecurity Framework CSF 2.0. NIST CSWP 29. </w:t>
      </w:r>
      <w:hyperlink r:id="rId10">
        <w:r>
          <w:rPr>
            <w:color w:val="2F75B5"/>
            <w:u w:val="single"/>
            <w:rFonts w:ascii="Aptos" w:hAnsi="Aptos"/>
          </w:rPr>
          <w:t>NIST CSWP 29</w:t>
        </w:r>
      </w:hyperlink>
    </w:p>
    <w:p>
      <w:pPr>
        <w:spacing w:after="160"/>
        <w:ind w:left="403" w:hanging="403"/>
      </w:pPr>
      <w:r>
        <w:rPr>
          <w:rFonts w:ascii="Aptos" w:hAnsi="Aptos"/>
          <w:sz w:val="19"/>
        </w:rPr>
        <w:t xml:space="preserve">2. National Institute of Standards and Technology. Cybersecurity Framework website and CSF 2.0 resources. </w:t>
      </w:r>
      <w:hyperlink r:id="rId11">
        <w:r>
          <w:rPr>
            <w:color w:val="2F75B5"/>
            <w:u w:val="single"/>
            <w:rFonts w:ascii="Aptos" w:hAnsi="Aptos"/>
          </w:rPr>
          <w:t>NIST Cybersecurity Framework</w:t>
        </w:r>
      </w:hyperlink>
    </w:p>
    <w:p>
      <w:pPr>
        <w:spacing w:after="160"/>
        <w:ind w:left="403" w:hanging="403"/>
      </w:pPr>
      <w:r>
        <w:rPr>
          <w:rFonts w:ascii="Aptos" w:hAnsi="Aptos"/>
          <w:sz w:val="19"/>
        </w:rPr>
        <w:t xml:space="preserve">3. National Institute of Standards and Technology. CSF 2.0 Informative References and Reference Tool resources. </w:t>
      </w:r>
      <w:hyperlink r:id="rId12">
        <w:r>
          <w:rPr>
            <w:color w:val="2F75B5"/>
            <w:u w:val="single"/>
            <w:rFonts w:ascii="Aptos" w:hAnsi="Aptos"/>
          </w:rPr>
          <w:t>NIST CSF informative references</w:t>
        </w:r>
      </w:hyperlink>
    </w:p>
    <w:p>
      <w:pPr>
        <w:spacing w:after="160"/>
        <w:ind w:left="403" w:hanging="403"/>
      </w:pPr>
      <w:r>
        <w:rPr>
          <w:rFonts w:ascii="Aptos" w:hAnsi="Aptos"/>
          <w:sz w:val="19"/>
        </w:rPr>
        <w:t xml:space="preserve">4. Amazon Web Services. Amazon Textract document layout and table analysis. </w:t>
      </w:r>
      <w:hyperlink r:id="rId13">
        <w:r>
          <w:rPr>
            <w:color w:val="2F75B5"/>
            <w:u w:val="single"/>
            <w:rFonts w:ascii="Aptos" w:hAnsi="Aptos"/>
          </w:rPr>
          <w:t>Amazon Textract layout documentation</w:t>
        </w:r>
      </w:hyperlink>
    </w:p>
    <w:p>
      <w:pPr>
        <w:spacing w:after="160"/>
        <w:ind w:left="403" w:hanging="403"/>
      </w:pPr>
      <w:r>
        <w:rPr>
          <w:rFonts w:ascii="Aptos" w:hAnsi="Aptos"/>
          <w:sz w:val="19"/>
        </w:rPr>
        <w:t xml:space="preserve">5. Amazon Web Services. AWS Step Functions Developer Guide. </w:t>
      </w:r>
      <w:hyperlink r:id="rId14">
        <w:r>
          <w:rPr>
            <w:color w:val="2F75B5"/>
            <w:u w:val="single"/>
            <w:rFonts w:ascii="Aptos" w:hAnsi="Aptos"/>
          </w:rPr>
          <w:t>AWS Step Functions documentation</w:t>
        </w:r>
      </w:hyperlink>
    </w:p>
    <w:p>
      <w:pPr>
        <w:spacing w:after="160"/>
        <w:ind w:left="403" w:hanging="403"/>
      </w:pPr>
      <w:r>
        <w:rPr>
          <w:rFonts w:ascii="Aptos" w:hAnsi="Aptos"/>
          <w:sz w:val="19"/>
        </w:rPr>
        <w:t xml:space="preserve">6. Amazon Web Services. Amazon OpenSearch Service vector search. </w:t>
      </w:r>
      <w:hyperlink r:id="rId15">
        <w:r>
          <w:rPr>
            <w:color w:val="2F75B5"/>
            <w:u w:val="single"/>
            <w:rFonts w:ascii="Aptos" w:hAnsi="Aptos"/>
          </w:rPr>
          <w:t>Amazon OpenSearch vector search</w:t>
        </w:r>
      </w:hyperlink>
    </w:p>
    <w:p>
      <w:pPr>
        <w:spacing w:after="160"/>
        <w:ind w:left="403" w:hanging="403"/>
      </w:pPr>
      <w:r>
        <w:rPr>
          <w:rFonts w:ascii="Aptos" w:hAnsi="Aptos"/>
          <w:sz w:val="19"/>
        </w:rPr>
        <w:t xml:space="preserve">7. OpenSearch Project. Hybrid search documentation. </w:t>
      </w:r>
      <w:hyperlink r:id="rId16">
        <w:r>
          <w:rPr>
            <w:color w:val="2F75B5"/>
            <w:u w:val="single"/>
            <w:rFonts w:ascii="Aptos" w:hAnsi="Aptos"/>
          </w:rPr>
          <w:t>OpenSearch hybrid search</w:t>
        </w:r>
      </w:hyperlink>
    </w:p>
    <w:p>
      <w:pPr>
        <w:spacing w:after="160"/>
        <w:ind w:left="403" w:hanging="403"/>
      </w:pPr>
      <w:r>
        <w:rPr>
          <w:rFonts w:ascii="Aptos" w:hAnsi="Aptos"/>
          <w:sz w:val="19"/>
        </w:rPr>
        <w:t xml:space="preserve">8. Amazon Web Services. Amazon Titan Text Embeddings models. </w:t>
      </w:r>
      <w:hyperlink r:id="rId17">
        <w:r>
          <w:rPr>
            <w:color w:val="2F75B5"/>
            <w:u w:val="single"/>
            <w:rFonts w:ascii="Aptos" w:hAnsi="Aptos"/>
          </w:rPr>
          <w:t>Titan Text Embeddings documentation</w:t>
        </w:r>
      </w:hyperlink>
    </w:p>
    <w:p>
      <w:pPr>
        <w:spacing w:after="160"/>
        <w:ind w:left="403" w:hanging="403"/>
      </w:pPr>
      <w:r>
        <w:rPr>
          <w:rFonts w:ascii="Aptos" w:hAnsi="Aptos"/>
          <w:sz w:val="19"/>
        </w:rPr>
        <w:t xml:space="preserve">9. Amazon Web Services. How Amazon Bedrock Guardrails works. </w:t>
      </w:r>
      <w:hyperlink r:id="rId18">
        <w:r>
          <w:rPr>
            <w:color w:val="2F75B5"/>
            <w:u w:val="single"/>
            <w:rFonts w:ascii="Aptos" w:hAnsi="Aptos"/>
          </w:rPr>
          <w:t>Amazon Bedrock Guardrails</w:t>
        </w:r>
      </w:hyperlink>
    </w:p>
    <w:p>
      <w:pPr>
        <w:spacing w:after="160"/>
        <w:ind w:left="403" w:hanging="403"/>
      </w:pPr>
      <w:r>
        <w:rPr>
          <w:rFonts w:ascii="Aptos" w:hAnsi="Aptos"/>
          <w:sz w:val="19"/>
        </w:rPr>
        <w:t xml:space="preserve">10. Amazon Web Services. Contextual grounding checks in Amazon Bedrock Guardrails. </w:t>
      </w:r>
      <w:hyperlink r:id="rId19">
        <w:r>
          <w:rPr>
            <w:color w:val="2F75B5"/>
            <w:u w:val="single"/>
            <w:rFonts w:ascii="Aptos" w:hAnsi="Aptos"/>
          </w:rPr>
          <w:t>Bedrock contextual grounding checks</w:t>
        </w:r>
      </w:hyperlink>
    </w:p>
    <w:p>
      <w:pPr>
        <w:spacing w:after="160"/>
        <w:ind w:left="403" w:hanging="403"/>
      </w:pPr>
      <w:r>
        <w:rPr>
          <w:rFonts w:ascii="Aptos" w:hAnsi="Aptos"/>
          <w:sz w:val="19"/>
        </w:rPr>
        <w:t xml:space="preserve">11. Amazon Web Services. Amazon S3 versioning. </w:t>
      </w:r>
      <w:hyperlink r:id="rId20">
        <w:r>
          <w:rPr>
            <w:color w:val="2F75B5"/>
            <w:u w:val="single"/>
            <w:rFonts w:ascii="Aptos" w:hAnsi="Aptos"/>
          </w:rPr>
          <w:t>Amazon S3 versioning</w:t>
        </w:r>
      </w:hyperlink>
    </w:p>
    <w:p>
      <w:pPr>
        <w:spacing w:after="160"/>
        <w:ind w:left="403" w:hanging="403"/>
      </w:pPr>
      <w:r>
        <w:rPr>
          <w:rFonts w:ascii="Aptos" w:hAnsi="Aptos"/>
          <w:sz w:val="19"/>
        </w:rPr>
        <w:t xml:space="preserve">12. Amazon Web Services. AWS Well-Architected Framework. </w:t>
      </w:r>
      <w:hyperlink r:id="rId21">
        <w:r>
          <w:rPr>
            <w:color w:val="2F75B5"/>
            <w:u w:val="single"/>
            <w:rFonts w:ascii="Aptos" w:hAnsi="Aptos"/>
          </w:rPr>
          <w:t>AWS Well-Architected Framework</w:t>
        </w:r>
      </w:hyperlink>
    </w:p>
    <w:p>
      <w:pPr>
        <w:pStyle w:val="Heading2"/>
        <w:keepNext/>
      </w:pPr>
      <w:r>
        <w:rPr>
          <w:rFonts w:ascii="Aptos" w:hAnsi="Aptos"/>
          <w:b/>
          <w:color w:val="000000"/>
          <w:sz w:val="25"/>
        </w:rPr>
        <w:t>Terminology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cantSplit w:val="true"/>
        </w:trPr>
        <w:tc>
          <w:tcPr>
            <w:tcW w:type="dxa" w:w="2304"/>
            <w:shd w:fill="17365D"/>
            <w:tcMar>
              <w:top w:w="90" w:type="dxa"/>
              <w:start w:w="120" w:type="dxa"/>
              <w:bottom w:w="90" w:type="dxa"/>
              <w:end w:w="120" w:type="dxa"/>
            </w:tcMar>
            <w:vAlign w:val="center"/>
          </w:tcPr>
          <w:p>
            <w:pPr>
              <w:spacing w:after="0"/>
              <w:jc w:val="left"/>
            </w:pPr>
            <w:r>
              <w:rPr>
                <w:rFonts w:ascii="Aptos" w:hAnsi="Aptos"/>
                <w:b/>
                <w:color w:val="FFFFFF"/>
                <w:sz w:val="18"/>
              </w:rPr>
              <w:t>Term</w:t>
            </w:r>
          </w:p>
        </w:tc>
        <w:tc>
          <w:tcPr>
            <w:tcW w:type="dxa" w:w="7416"/>
            <w:shd w:fill="17365D"/>
            <w:tcMar>
              <w:top w:w="90" w:type="dxa"/>
              <w:start w:w="120" w:type="dxa"/>
              <w:bottom w:w="90" w:type="dxa"/>
              <w:end w:w="120" w:type="dxa"/>
            </w:tcMar>
            <w:vAlign w:val="center"/>
          </w:tcPr>
          <w:p>
            <w:pPr>
              <w:spacing w:after="0"/>
              <w:jc w:val="left"/>
            </w:pPr>
            <w:r>
              <w:rPr>
                <w:rFonts w:ascii="Aptos" w:hAnsi="Aptos"/>
                <w:b/>
                <w:color w:val="FFFFFF"/>
                <w:sz w:val="18"/>
              </w:rPr>
              <w:t>Meaning in this design</w:t>
            </w:r>
          </w:p>
        </w:tc>
      </w:tr>
      <w:tr>
        <w:trPr>
          <w:cantSplit w:val="true"/>
        </w:trPr>
        <w:tc>
          <w:tcPr>
            <w:tcW w:type="dxa" w:w="2304"/>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Authoritative PDF</w:t>
            </w:r>
          </w:p>
        </w:tc>
        <w:tc>
          <w:tcPr>
            <w:tcW w:type="dxa" w:w="741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The published NIST document retained as the governing human-readable source</w:t>
            </w:r>
          </w:p>
        </w:tc>
      </w:tr>
      <w:tr>
        <w:trPr>
          <w:cantSplit w:val="true"/>
        </w:trPr>
        <w:tc>
          <w:tcPr>
            <w:tcW w:type="dxa" w:w="2304"/>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Markdown artifact</w:t>
            </w:r>
          </w:p>
        </w:tc>
        <w:tc>
          <w:tcPr>
            <w:tcW w:type="dxa" w:w="741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 controlled, page-linked processing representation used for review, chunking, and indexing</w:t>
            </w:r>
          </w:p>
        </w:tc>
      </w:tr>
      <w:tr>
        <w:trPr>
          <w:cantSplit w:val="true"/>
        </w:trPr>
        <w:tc>
          <w:tcPr>
            <w:tcW w:type="dxa" w:w="2304"/>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Chunk</w:t>
            </w:r>
          </w:p>
        </w:tc>
        <w:tc>
          <w:tcPr>
            <w:tcW w:type="dxa" w:w="741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A coherent evidence unit with text, structural context, provenance, and a deterministic identity</w:t>
            </w:r>
          </w:p>
        </w:tc>
      </w:tr>
      <w:tr>
        <w:trPr>
          <w:cantSplit w:val="true"/>
        </w:trPr>
        <w:tc>
          <w:tcPr>
            <w:tcW w:type="dxa" w:w="2304"/>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Golden set</w:t>
            </w:r>
          </w:p>
        </w:tc>
        <w:tc>
          <w:tcPr>
            <w:tcW w:type="dxa" w:w="741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The versioned collection of 50 questions, evidence judgments, answer boundaries, and risk expectations used for evaluation</w:t>
            </w:r>
          </w:p>
        </w:tc>
      </w:tr>
      <w:tr>
        <w:trPr>
          <w:cantSplit w:val="true"/>
        </w:trPr>
        <w:tc>
          <w:tcPr>
            <w:tcW w:type="dxa" w:w="2304"/>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Hybrid retrieval</w:t>
            </w:r>
          </w:p>
        </w:tc>
        <w:tc>
          <w:tcPr>
            <w:tcW w:type="dxa" w:w="741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Combined lexical and semantic search followed by fusion and optional reranking</w:t>
            </w:r>
          </w:p>
        </w:tc>
      </w:tr>
      <w:tr>
        <w:trPr>
          <w:cantSplit w:val="true"/>
        </w:trPr>
        <w:tc>
          <w:tcPr>
            <w:tcW w:type="dxa" w:w="2304"/>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Grounded answer</w:t>
            </w:r>
          </w:p>
        </w:tc>
        <w:tc>
          <w:tcPr>
            <w:tcW w:type="dxa" w:w="7416"/>
            <w:shd w:fill="EAF2F8"/>
            <w:tcMar>
              <w:top w:w="80" w:type="dxa"/>
              <w:start w:w="120" w:type="dxa"/>
              <w:bottom w:w="80" w:type="dxa"/>
              <w:end w:w="120" w:type="dxa"/>
            </w:tcMar>
            <w:vAlign w:val="center"/>
          </w:tcPr>
          <w:p>
            <w:pPr>
              <w:spacing w:after="0" w:line="252" w:lineRule="auto"/>
              <w:jc w:val="left"/>
            </w:pPr>
            <w:r>
              <w:rPr>
                <w:rFonts w:ascii="Aptos" w:hAnsi="Aptos"/>
                <w:color w:val="000000"/>
                <w:sz w:val="17"/>
              </w:rPr>
              <w:t>An answer whose substantive claims are supported by the selected governed evidence</w:t>
            </w:r>
          </w:p>
        </w:tc>
      </w:tr>
      <w:tr>
        <w:trPr>
          <w:cantSplit w:val="true"/>
        </w:trPr>
        <w:tc>
          <w:tcPr>
            <w:tcW w:type="dxa" w:w="2304"/>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Release configuration</w:t>
            </w:r>
          </w:p>
        </w:tc>
        <w:tc>
          <w:tcPr>
            <w:tcW w:type="dxa" w:w="7416"/>
            <w:shd w:fill="FFFFFF"/>
            <w:tcMar>
              <w:top w:w="80" w:type="dxa"/>
              <w:start w:w="120" w:type="dxa"/>
              <w:bottom w:w="80" w:type="dxa"/>
              <w:end w:w="120" w:type="dxa"/>
            </w:tcMar>
            <w:vAlign w:val="center"/>
          </w:tcPr>
          <w:p>
            <w:pPr>
              <w:spacing w:after="0" w:line="252" w:lineRule="auto"/>
              <w:jc w:val="left"/>
            </w:pPr>
            <w:r>
              <w:rPr>
                <w:rFonts w:ascii="Aptos" w:hAnsi="Aptos"/>
                <w:color w:val="000000"/>
                <w:sz w:val="17"/>
              </w:rPr>
              <w:t>The linked versions of application, infrastructure, corpus, parser, chunker, embedding, index, prompt, model, guardrail, and evaluation dataset</w:t>
            </w:r>
          </w:p>
        </w:tc>
      </w:tr>
    </w:tbl>
    <w:p>
      <w:pPr>
        <w:spacing w:after="20"/>
      </w:pPr>
    </w:p>
    <w:sectPr w:rsidR="00FC693F" w:rsidRPr="0006063C" w:rsidSect="00034616">
      <w:footerReference w:type="default" r:id="rId9"/>
      <w:pgSz w:w="12240" w:h="15840"/>
      <w:pgMar w:top="1037" w:right="1123" w:bottom="936"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spacing w:before="0"/>
    </w:pPr>
    <w:r>
      <w:rPr>
        <w:rFonts w:ascii="Aptos" w:hAnsi="Aptos"/>
        <w:b/>
        <w:color w:val="17365D"/>
        <w:sz w:val="15"/>
      </w:rPr>
      <w:t>CONFIDENTIAL  |  ENGINEERING DESIGN BASELINE</w:t>
    </w:r>
    <w:r>
      <w:rPr>
        <w:rFonts w:ascii="Aptos" w:hAnsi="Aptos"/>
        <w:color w:val="4B5563"/>
        <w:sz w:val="16"/>
      </w:rPr>
      <w:tab/>
    </w:r>
    <w:r>
      <w:rPr>
        <w:rFonts w:ascii="Aptos" w:hAnsi="Aptos"/>
        <w:color w:val="4B5563"/>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40" w:after="10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4B55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6028/NIST.CSWP.29" TargetMode="External"/><Relationship Id="rId11" Type="http://schemas.openxmlformats.org/officeDocument/2006/relationships/hyperlink" Target="https://www.nist.gov/cyberframework" TargetMode="External"/><Relationship Id="rId12" Type="http://schemas.openxmlformats.org/officeDocument/2006/relationships/hyperlink" Target="https://www.nist.gov/cyberframework/informative-references" TargetMode="External"/><Relationship Id="rId13" Type="http://schemas.openxmlformats.org/officeDocument/2006/relationships/hyperlink" Target="https://docs.aws.amazon.com/textract/latest/dg/how-it-works-document-layout.html" TargetMode="External"/><Relationship Id="rId14" Type="http://schemas.openxmlformats.org/officeDocument/2006/relationships/hyperlink" Target="https://docs.aws.amazon.com/step-functions/" TargetMode="External"/><Relationship Id="rId15" Type="http://schemas.openxmlformats.org/officeDocument/2006/relationships/hyperlink" Target="https://docs.aws.amazon.com/opensearch-service/latest/developerguide/vector-search.html" TargetMode="External"/><Relationship Id="rId16" Type="http://schemas.openxmlformats.org/officeDocument/2006/relationships/hyperlink" Target="https://docs.opensearch.org/latest/vector-search/ai-search/hybrid-search/index/" TargetMode="External"/><Relationship Id="rId17" Type="http://schemas.openxmlformats.org/officeDocument/2006/relationships/hyperlink" Target="https://docs.aws.amazon.com/bedrock/latest/userguide/titan-embedding-models.html" TargetMode="External"/><Relationship Id="rId18" Type="http://schemas.openxmlformats.org/officeDocument/2006/relationships/hyperlink" Target="https://docs.aws.amazon.com/bedrock/latest/userguide/guardrails-how.html" TargetMode="External"/><Relationship Id="rId19" Type="http://schemas.openxmlformats.org/officeDocument/2006/relationships/hyperlink" Target="https://docs.aws.amazon.com/bedrock/latest/userguide/guardrails-contextual-grounding-check.html" TargetMode="External"/><Relationship Id="rId20" Type="http://schemas.openxmlformats.org/officeDocument/2006/relationships/hyperlink" Target="https://docs.aws.amazon.com/AmazonS3/latest/userguide/Versioning.html" TargetMode="External"/><Relationship Id="rId21" Type="http://schemas.openxmlformats.org/officeDocument/2006/relationships/hyperlink" Target="https://docs.aws.amazon.com/wellarchitected/latest/framework/welc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NIST Cybersecurity Framework RAG Chatbot Detailed Solution Design</dc:title>
  <dc:subject>Detailed design for document processing, chunking, storage, retrieval, answer generation, evaluation, and AWS hosting</dc:subject>
  <dc:creator>Sara Selvaraju and Rajan Hans</dc:creator>
  <cp:keywords>NIST CSF 2.0, RAG, detailed design, AWS, chunking, retrieval, evaluation</cp:keywords>
  <dc:description>Companion engineering design to the NIST CSF RAG Chatbot PRD</dc:description>
  <cp:lastModifiedBy/>
  <cp:revision>1</cp:revision>
  <dcterms:created xsi:type="dcterms:W3CDTF">2013-12-23T23:15:00Z</dcterms:created>
  <dcterms:modified xsi:type="dcterms:W3CDTF">2013-12-23T23:15:00Z</dcterms:modified>
  <cp:category/>
</cp:coreProperties>
</file>