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sz w:val="20"/>
          <w:szCs w:val="20"/>
        </w:rPr>
        <w:t xml:space="preserve"/>
      </w:r>
    </w:p>
    <w:p>
      <w:pPr>
        <w:shd w:fill="1F4E8C" w:val="clear"/>
        <w:spacing w:after="0" w:before="0"/>
      </w:pPr>
      <w:r>
        <w:rPr>
          <w:rFonts w:ascii="Arial" w:cs="Arial" w:eastAsia="Arial" w:hAnsi="Arial"/>
          <w:b/>
          <w:bCs/>
          <w:color w:val="FFFFFF"/>
          <w:sz w:val="40"/>
          <w:szCs w:val="40"/>
        </w:rPr>
        <w:t xml:space="preserve">  AI Agent Identity Policy</w:t>
      </w:r>
    </w:p>
    <w:p>
      <w:pPr>
        <w:shd w:fill="2E75B6" w:val="clear"/>
        <w:spacing w:after="0" w:before="0"/>
      </w:pPr>
      <w:r>
        <w:rPr>
          <w:rFonts w:ascii="Arial" w:cs="Arial" w:eastAsia="Arial" w:hAnsi="Arial"/>
          <w:color w:val="FFFFFF"/>
          <w:sz w:val="22"/>
          <w:szCs w:val="22"/>
        </w:rPr>
        <w:t xml:space="preserve">  Governing Non-Human Identities in AI-Enabled Environments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Policy ID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POL-IAM-AI-001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Version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1.0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Classification</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Internal — Restricted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Policy Owner</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[CISO / IAM Director]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Approved By</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[Board / Executive Committee]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Review Cycle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Annual or upon material change to AI deployment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Effective Date</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[DD Month YYYY]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9"/>
                <w:szCs w:val="19"/>
              </w:rPr>
              <w:t xml:space="preserve">Last Updated</w:t>
            </w:r>
          </w:p>
        </w:tc>
        <w:tc>
          <w:tcPr>
            <w:tcW w:type="dxa" w:w="7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95959"/>
                <w:sz w:val="19"/>
                <w:szCs w:val="19"/>
              </w:rPr>
              <w:t xml:space="preserve">[DD Month YYYY]</w:t>
            </w:r>
          </w:p>
        </w:tc>
      </w:tr>
    </w:tbl>
    <w:p>
      <w:pPr>
        <w:spacing w:after="80" w:before="200"/>
      </w:pPr>
      <w:r>
        <w:t xml:space="preserve"/>
      </w:r>
    </w:p>
    <w:p>
      <w:pPr>
        <w:shd w:fill="D6E4F7" w:val="clear"/>
        <w:spacing w:after="0" w:before="0"/>
        <w:ind w:left="0"/>
      </w:pPr>
      <w:r>
        <w:rPr>
          <w:rFonts w:ascii="Arial" w:cs="Arial" w:eastAsia="Arial" w:hAnsi="Arial"/>
          <w:color w:val="1F4E8C"/>
          <w:sz w:val="20"/>
          <w:szCs w:val="20"/>
        </w:rPr>
        <w:t xml:space="preserve">  Purpose:  This policy establishes identity governance and access control standards for AI agents and non-human identities operating within the organisation's technology environment. It extends existing Privileged Access Management (PAM) and Identity Lifecycle Management (ILM) principles to address the unique risks posed by autonomous AI systems.</w:t>
      </w:r>
    </w:p>
    <w:p>
      <w:pPr>
        <w:spacing w:after="0" w:before="240"/>
      </w:pPr>
      <w:r>
        <w:t xml:space="preserve"/>
      </w:r>
    </w:p>
    <w:p>
      <w:pPr>
        <w:pStyle w:val="Heading1"/>
        <w:spacing w:after="120" w:before="280"/>
      </w:pPr>
      <w:r>
        <w:t xml:space="preserve">1.  Scope and Applicability</w:t>
      </w:r>
    </w:p>
    <w:p>
      <w:pPr>
        <w:spacing w:after="60" w:before="60"/>
      </w:pPr>
      <w:r>
        <w:rPr>
          <w:rFonts w:ascii="Arial" w:cs="Arial" w:eastAsia="Arial" w:hAnsi="Arial"/>
          <w:color w:val="1A1A2E"/>
          <w:sz w:val="20"/>
          <w:szCs w:val="20"/>
        </w:rPr>
        <w:t xml:space="preserve">This policy applies to all AI agents, autonomous software processes, robotic process automation (RPA) bots, and any non-human entity that:</w:t>
      </w:r>
    </w:p>
    <w:p>
      <w:pPr>
        <w:pStyle w:val="ListParagraph"/>
        <w:numPr>
          <w:ilvl w:val="0"/>
          <w:numId w:val="2"/>
        </w:numPr>
        <w:spacing w:after="40" w:before="40"/>
      </w:pPr>
      <w:r>
        <w:rPr>
          <w:rFonts w:ascii="Arial" w:cs="Arial" w:eastAsia="Arial" w:hAnsi="Arial"/>
          <w:color w:val="1A1A2E"/>
          <w:sz w:val="20"/>
          <w:szCs w:val="20"/>
        </w:rPr>
        <w:t xml:space="preserve">is assigned an identity within Microsoft Entra ID (formerly Azure Active Directory) or any connected identity provider;</w:t>
      </w:r>
    </w:p>
    <w:p>
      <w:pPr>
        <w:pStyle w:val="ListParagraph"/>
        <w:numPr>
          <w:ilvl w:val="0"/>
          <w:numId w:val="2"/>
        </w:numPr>
        <w:spacing w:after="40" w:before="40"/>
      </w:pPr>
      <w:r>
        <w:rPr>
          <w:rFonts w:ascii="Arial" w:cs="Arial" w:eastAsia="Arial" w:hAnsi="Arial"/>
          <w:color w:val="1A1A2E"/>
          <w:sz w:val="20"/>
          <w:szCs w:val="20"/>
        </w:rPr>
        <w:t xml:space="preserve">holds credentials, API keys, OAuth tokens, managed identities, or service principals;</w:t>
      </w:r>
    </w:p>
    <w:p>
      <w:pPr>
        <w:pStyle w:val="ListParagraph"/>
        <w:numPr>
          <w:ilvl w:val="0"/>
          <w:numId w:val="2"/>
        </w:numPr>
        <w:spacing w:after="40" w:before="40"/>
      </w:pPr>
      <w:r>
        <w:rPr>
          <w:rFonts w:ascii="Arial" w:cs="Arial" w:eastAsia="Arial" w:hAnsi="Arial"/>
          <w:color w:val="1A1A2E"/>
          <w:sz w:val="20"/>
          <w:szCs w:val="20"/>
        </w:rPr>
        <w:t xml:space="preserve">interacts with organisational data, systems, applications, or third-party services autonomously or semi-autonomously; or</w:t>
      </w:r>
    </w:p>
    <w:p>
      <w:pPr>
        <w:pStyle w:val="ListParagraph"/>
        <w:numPr>
          <w:ilvl w:val="0"/>
          <w:numId w:val="2"/>
        </w:numPr>
        <w:spacing w:after="40" w:before="40"/>
      </w:pPr>
      <w:r>
        <w:rPr>
          <w:rFonts w:ascii="Arial" w:cs="Arial" w:eastAsia="Arial" w:hAnsi="Arial"/>
          <w:color w:val="1A1A2E"/>
          <w:sz w:val="20"/>
          <w:szCs w:val="20"/>
        </w:rPr>
        <w:t xml:space="preserve">executes actions on behalf of a human user, business process, or another automated system.</w:t>
      </w:r>
    </w:p>
    <w:p>
      <w:pPr>
        <w:spacing w:after="0" w:before="80"/>
      </w:pPr>
      <w:r>
        <w:t xml:space="preserve"/>
      </w:r>
    </w:p>
    <w:p>
      <w:pPr>
        <w:spacing w:after="60" w:before="60"/>
      </w:pPr>
      <w:r>
        <w:rPr>
          <w:rFonts w:ascii="Arial" w:cs="Arial" w:eastAsia="Arial" w:hAnsi="Arial"/>
          <w:color w:val="1A1A2E"/>
          <w:sz w:val="20"/>
          <w:szCs w:val="20"/>
        </w:rPr>
        <w:t xml:space="preserve">This policy applies across all environments: on-premises, cloud (Azure, AWS, GCP), SaaS, and hybrid. It applies to all business units, subsidiaries, and third-party service providers operating AI agents on behalf of the organisation.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Agent Type</w:t>
            </w:r>
          </w:p>
        </w:tc>
        <w:tc>
          <w:tcPr>
            <w:tcW w:type="dxa" w:w="312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Example</w:t>
            </w:r>
          </w:p>
        </w:tc>
        <w:tc>
          <w:tcPr>
            <w:tcW w:type="dxa" w:w="312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Covered by Policy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coding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Copilot Workspace, Claude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1A"/>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Agentic AI assistants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Copilot Studio agents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1A"/>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RPA / automation bots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UiPath, Power Automate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1A"/>
                <w:sz w:val="20"/>
                <w:szCs w:val="20"/>
              </w:rPr>
              <w:t xml:space="preserve">Yes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accounts (AI-driven)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Workload Identity, managed identity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7A1A"/>
                <w:sz w:val="20"/>
                <w:szCs w:val="20"/>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service accounts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Non-AI application accounts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595959"/>
                <w:sz w:val="20"/>
                <w:szCs w:val="20"/>
              </w:rPr>
              <w:t xml:space="preserve">Refer to PAM Policy</w:t>
            </w:r>
          </w:p>
        </w:tc>
      </w:tr>
    </w:tbl>
    <w:p>
      <w:pPr>
        <w:spacing w:after="0" w:before="200"/>
      </w:pPr>
      <w:r>
        <w:t xml:space="preserve"/>
      </w:r>
    </w:p>
    <w:p>
      <w:pPr>
        <w:pStyle w:val="Heading1"/>
        <w:spacing w:after="120" w:before="280"/>
      </w:pPr>
      <w:r>
        <w:t xml:space="preserve">2.  Agent Registration</w:t>
      </w:r>
    </w:p>
    <w:p>
      <w:pPr>
        <w:spacing w:after="60" w:before="60"/>
      </w:pPr>
      <w:r>
        <w:rPr>
          <w:rFonts w:ascii="Arial" w:cs="Arial" w:eastAsia="Arial" w:hAnsi="Arial"/>
          <w:color w:val="1A1A2E"/>
          <w:sz w:val="20"/>
          <w:szCs w:val="20"/>
        </w:rPr>
        <w:t xml:space="preserve">Every AI agent must be registered as a formal identity before deployment. Unregistered agents (“shadow AI”) are prohibited and constitute a security incident.</w:t>
      </w:r>
    </w:p>
    <w:p>
      <w:pPr>
        <w:spacing w:after="0" w:before="80"/>
      </w:pPr>
      <w:r>
        <w:t xml:space="preserve"/>
      </w:r>
    </w:p>
    <w:p>
      <w:pPr>
        <w:pStyle w:val="Heading2"/>
        <w:spacing w:after="80" w:before="160"/>
      </w:pPr>
      <w:r>
        <w:t xml:space="preserve">2.1  Registration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63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Entra Agent 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Each agent must be registered in Microsoft Entra ID using Entra Agent ID, assigned a unique Object ID, and tagged with agent-type and business-owner metadata.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Agent 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 must be classified by risk tier: High (access to sensitive data or privileged systems), Medium, or Low. Classification determines review frequency and access restrictions.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CyberArk vault onboarding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credentials used by the agent (API keys, secrets, certificates) must be stored in CyberArk Privileged Access Manager. No hardcoded credentials are permitted.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Asset inventory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identity must be recorded in the CMDB and the IAM system of record (SailPoint / Saviynt) with links to owner, environment, and associated business process.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Network &amp; data scope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Registration must document all systems, APIs, and data classifications the agent will access. Any expansion of scope requires re-registration and re-approval.</w:t>
            </w:r>
          </w:p>
        </w:tc>
      </w:tr>
    </w:tbl>
    <w:p>
      <w:pPr>
        <w:spacing w:after="0" w:before="80"/>
      </w:pPr>
      <w:r>
        <w:t xml:space="preserve"/>
      </w:r>
    </w:p>
    <w:p>
      <w:pPr>
        <w:spacing w:after="60" w:before="60"/>
      </w:pPr>
      <w:r>
        <w:rPr>
          <w:rFonts w:ascii="Arial" w:cs="Arial" w:eastAsia="Arial" w:hAnsi="Arial"/>
          <w:color w:val="1A1A2E"/>
          <w:sz w:val="20"/>
          <w:szCs w:val="20"/>
        </w:rPr>
        <w:t xml:space="preserve">Agents must NOT be registered using shared service accounts or human user identities. Each agent must have a distinct, dedicated identity.</w:t>
      </w:r>
    </w:p>
    <w:p>
      <w:pPr>
        <w:spacing w:after="0" w:before="200"/>
      </w:pPr>
      <w:r>
        <w:t xml:space="preserve"/>
      </w:r>
    </w:p>
    <w:p>
      <w:pPr>
        <w:pStyle w:val="Heading1"/>
        <w:spacing w:after="120" w:before="280"/>
      </w:pPr>
      <w:r>
        <w:t xml:space="preserve">3.  Human Sponsor Requirement</w:t>
      </w:r>
    </w:p>
    <w:p>
      <w:pPr>
        <w:spacing w:after="60" w:before="60"/>
      </w:pPr>
      <w:r>
        <w:rPr>
          <w:rFonts w:ascii="Arial" w:cs="Arial" w:eastAsia="Arial" w:hAnsi="Arial"/>
          <w:color w:val="1A1A2E"/>
          <w:sz w:val="20"/>
          <w:szCs w:val="20"/>
        </w:rPr>
        <w:t xml:space="preserve">Every registered AI agent must have a designated Human Sponsor. This is a named individual who accepts personal accountability for the agent’s behaviour, access, and lifecycle within the organisation.</w:t>
      </w:r>
    </w:p>
    <w:p>
      <w:pPr>
        <w:spacing w:after="0" w:before="80"/>
      </w:pPr>
      <w:r>
        <w:t xml:space="preserve"/>
      </w:r>
    </w:p>
    <w:p>
      <w:pPr>
        <w:pStyle w:val="Heading2"/>
        <w:spacing w:after="80" w:before="160"/>
      </w:pPr>
      <w:r>
        <w:t xml:space="preserve">3.1  Human Sponsor responsibilities</w:t>
      </w:r>
    </w:p>
    <w:p>
      <w:pPr>
        <w:pStyle w:val="ListParagraph"/>
        <w:numPr>
          <w:ilvl w:val="0"/>
          <w:numId w:val="2"/>
        </w:numPr>
        <w:spacing w:after="40" w:before="40"/>
      </w:pPr>
      <w:r>
        <w:rPr>
          <w:rFonts w:ascii="Arial" w:cs="Arial" w:eastAsia="Arial" w:hAnsi="Arial"/>
          <w:b/>
          <w:bCs/>
          <w:color w:val="1A1A2E"/>
          <w:sz w:val="20"/>
          <w:szCs w:val="20"/>
        </w:rPr>
        <w:t xml:space="preserve">Authorise and sign the Agent Registration Request</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Review and attest to the agent’s access rights at each scheduled review cycle</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Approve any changes to the agent’s permission scope or system access</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Ensure the agent is offboarded promptly when decommissioned or no longer required</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Report any anomalous, unexpected, or potentially malicious agent behaviour to the Security Operations Centre (SOC)</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Remain the escalation point for all audit, compliance, and incident queries relating to the agent</w:t>
      </w:r>
      <w:r>
        <w:rPr>
          <w:rFonts w:ascii="Arial" w:cs="Arial" w:eastAsia="Arial" w:hAnsi="Arial"/>
          <w:color w:val="1A1A2E"/>
          <w:sz w:val="20"/>
          <w:szCs w:val="20"/>
        </w:rPr>
        <w:t xml:space="preserve"/>
      </w:r>
    </w:p>
    <w:p>
      <w:pPr>
        <w:spacing w:after="0" w:before="80"/>
      </w:pPr>
      <w:r>
        <w:t xml:space="preserve"/>
      </w:r>
    </w:p>
    <w:p>
      <w:pPr>
        <w:pStyle w:val="Heading2"/>
        <w:spacing w:after="80" w:before="160"/>
      </w:pPr>
      <w:r>
        <w:t xml:space="preserve">3.2  Sponsor eligibility</w:t>
      </w:r>
    </w:p>
    <w:p>
      <w:pPr>
        <w:spacing w:after="60" w:before="60"/>
      </w:pPr>
      <w:r>
        <w:rPr>
          <w:rFonts w:ascii="Arial" w:cs="Arial" w:eastAsia="Arial" w:hAnsi="Arial"/>
          <w:color w:val="1A1A2E"/>
          <w:sz w:val="20"/>
          <w:szCs w:val="20"/>
        </w:rPr>
        <w:t xml:space="preserve">A Human Sponsor must be:</w:t>
      </w:r>
    </w:p>
    <w:p>
      <w:pPr>
        <w:pStyle w:val="ListParagraph"/>
        <w:numPr>
          <w:ilvl w:val="0"/>
          <w:numId w:val="2"/>
        </w:numPr>
        <w:spacing w:after="40" w:before="40"/>
      </w:pPr>
      <w:r>
        <w:rPr>
          <w:rFonts w:ascii="Arial" w:cs="Arial" w:eastAsia="Arial" w:hAnsi="Arial"/>
          <w:color w:val="1A1A2E"/>
          <w:sz w:val="20"/>
          <w:szCs w:val="20"/>
        </w:rPr>
        <w:t xml:space="preserve">a permanent or contracted employee at Manager level or above;</w:t>
      </w:r>
    </w:p>
    <w:p>
      <w:pPr>
        <w:pStyle w:val="ListParagraph"/>
        <w:numPr>
          <w:ilvl w:val="0"/>
          <w:numId w:val="2"/>
        </w:numPr>
        <w:spacing w:after="40" w:before="40"/>
      </w:pPr>
      <w:r>
        <w:rPr>
          <w:rFonts w:ascii="Arial" w:cs="Arial" w:eastAsia="Arial" w:hAnsi="Arial"/>
          <w:color w:val="1A1A2E"/>
          <w:sz w:val="20"/>
          <w:szCs w:val="20"/>
        </w:rPr>
        <w:t xml:space="preserve">employed within the business unit that owns the process the agent supports; and</w:t>
      </w:r>
    </w:p>
    <w:p>
      <w:pPr>
        <w:pStyle w:val="ListParagraph"/>
        <w:numPr>
          <w:ilvl w:val="0"/>
          <w:numId w:val="2"/>
        </w:numPr>
        <w:spacing w:after="40" w:before="40"/>
      </w:pPr>
      <w:r>
        <w:rPr>
          <w:rFonts w:ascii="Arial" w:cs="Arial" w:eastAsia="Arial" w:hAnsi="Arial"/>
          <w:color w:val="1A1A2E"/>
          <w:sz w:val="20"/>
          <w:szCs w:val="20"/>
        </w:rPr>
        <w:t xml:space="preserve">not the same individual as the agent’s technical developer or system administrator (segregation of duties).</w:t>
      </w:r>
    </w:p>
    <w:p>
      <w:pPr>
        <w:spacing w:after="0" w:before="80"/>
      </w:pPr>
      <w:r>
        <w:t xml:space="preserve"/>
      </w:r>
    </w:p>
    <w:p>
      <w:pPr>
        <w:spacing w:after="60" w:before="60"/>
      </w:pPr>
      <w:r>
        <w:rPr>
          <w:rFonts w:ascii="Arial" w:cs="Arial" w:eastAsia="Arial" w:hAnsi="Arial"/>
          <w:color w:val="1A1A2E"/>
          <w:sz w:val="20"/>
          <w:szCs w:val="20"/>
        </w:rPr>
        <w:t xml:space="preserve">If a Human Sponsor leaves the organisation or changes role, the agent must be suspended within 5 business days pending assignment of a new sponsor. Failure to assign a replacement sponsor triggers automatic offboarding (see Section 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Agent Risk Tier</w:t>
            </w:r>
          </w:p>
        </w:tc>
        <w:tc>
          <w:tcPr>
            <w:tcW w:type="dxa" w:w="468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Minimum Sponsor Level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High risk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Director or above (e.g., CISO, CTO, BU Director)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Medium risk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Senior Manager or above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Low risk</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Manager or above</w:t>
            </w:r>
          </w:p>
        </w:tc>
      </w:tr>
    </w:tbl>
    <w:p>
      <w:pPr>
        <w:spacing w:after="0" w:before="200"/>
      </w:pPr>
      <w:r>
        <w:t xml:space="preserve"/>
      </w:r>
    </w:p>
    <w:p>
      <w:r>
        <w:br w:type="page"/>
      </w:r>
    </w:p>
    <w:p>
      <w:pPr>
        <w:pStyle w:val="Heading1"/>
        <w:spacing w:after="120" w:before="280"/>
      </w:pPr>
      <w:r>
        <w:t xml:space="preserve">4.  Least Privilege Access Controls</w:t>
      </w:r>
    </w:p>
    <w:p>
      <w:pPr>
        <w:spacing w:after="60" w:before="60"/>
      </w:pPr>
      <w:r>
        <w:rPr>
          <w:rFonts w:ascii="Arial" w:cs="Arial" w:eastAsia="Arial" w:hAnsi="Arial"/>
          <w:color w:val="1A1A2E"/>
          <w:sz w:val="20"/>
          <w:szCs w:val="20"/>
        </w:rPr>
        <w:t xml:space="preserve">AI agents must operate under the principle of least privilege. Agents must be granted only the minimum permissions necessary to perform their designated function, for the minimum required duration.</w:t>
      </w:r>
    </w:p>
    <w:p>
      <w:pPr>
        <w:spacing w:after="0" w:before="80"/>
      </w:pPr>
      <w:r>
        <w:t xml:space="preserve"/>
      </w:r>
    </w:p>
    <w:p>
      <w:pPr>
        <w:pStyle w:val="Heading2"/>
        <w:spacing w:after="80" w:before="160"/>
      </w:pPr>
      <w:r>
        <w:t xml:space="preserve">4.1  Access provisioning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Control</w:t>
            </w:r>
          </w:p>
        </w:tc>
        <w:tc>
          <w:tcPr>
            <w:tcW w:type="dxa" w:w="61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Role-based access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Agents must be assigned RBAC roles with the narrowest applicable scope. No agent may be assigned Global Administrator, Owner, or equivalent broad roles.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Conditional Access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Entra ID Conditional Access policies must be applied to all agent identities. Policies must enforce IP restrictions, time-of-day controls, and service-scope limitations where applicable.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Just-in-time access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high-risk agents, privileged access must be provisioned on-demand via CyberArk Privileged Access Manager with time-bound session controls. Standing privileged access is prohibited.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Secret rotation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API keys, client secrets, and certificates must be rotated at least every 90 days via CyberArk. Agents must not use static long-lived credentials.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Internet access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Agents must not be granted unrestricted internet access. External API calls must be scoped to approved endpoints and governed by egress controls.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Data 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 must not access data beyond the classification level documented at registration. Access to PROTECTED or SENSITIVE data requires additional approval and enhanced logging.</w:t>
            </w:r>
          </w:p>
        </w:tc>
      </w:tr>
    </w:tbl>
    <w:p>
      <w:pPr>
        <w:spacing w:after="0" w:before="80"/>
      </w:pPr>
      <w:r>
        <w:t xml:space="preserve"/>
      </w:r>
    </w:p>
    <w:p>
      <w:pPr>
        <w:pStyle w:val="Heading2"/>
        <w:spacing w:after="80" w:before="160"/>
      </w:pPr>
      <w:r>
        <w:t xml:space="preserve">4.2  The superuser prohibition</w:t>
      </w:r>
    </w:p>
    <w:p>
      <w:pPr>
        <w:spacing w:after="60" w:before="60"/>
      </w:pPr>
      <w:r>
        <w:rPr>
          <w:rFonts w:ascii="Arial" w:cs="Arial" w:eastAsia="Arial" w:hAnsi="Arial"/>
          <w:color w:val="1A1A2E"/>
          <w:sz w:val="20"/>
          <w:szCs w:val="20"/>
        </w:rPr>
        <w:t xml:space="preserve">Agents must not accumulate broad permissions across multiple systems (“superuser creep”). Where an agent requires access to multiple systems, each access grant must be independently scoped, documented, and approved. Compound agent access that creates a de-facto privileged identity must be escalated to the Security Architecture team for review before deployment.</w:t>
      </w:r>
    </w:p>
    <w:p>
      <w:pPr>
        <w:spacing w:after="0" w:before="80"/>
      </w:pPr>
      <w:r>
        <w:t xml:space="preserve"/>
      </w:r>
    </w:p>
    <w:p>
      <w:pPr>
        <w:pStyle w:val="Heading2"/>
        <w:spacing w:after="80" w:before="160"/>
      </w:pPr>
      <w:r>
        <w:t xml:space="preserve">4.3  Monitoring and session controls</w:t>
      </w:r>
    </w:p>
    <w:p>
      <w:pPr>
        <w:pStyle w:val="ListParagraph"/>
        <w:numPr>
          <w:ilvl w:val="0"/>
          <w:numId w:val="2"/>
        </w:numPr>
        <w:spacing w:after="40" w:before="40"/>
      </w:pPr>
      <w:r>
        <w:rPr>
          <w:rFonts w:ascii="Arial" w:cs="Arial" w:eastAsia="Arial" w:hAnsi="Arial"/>
          <w:color w:val="1A1A2E"/>
          <w:sz w:val="20"/>
          <w:szCs w:val="20"/>
        </w:rPr>
        <w:t xml:space="preserve">All agent sessions accessing privileged systems must be recorded via CyberArk Session Manager.</w:t>
      </w:r>
    </w:p>
    <w:p>
      <w:pPr>
        <w:pStyle w:val="ListParagraph"/>
        <w:numPr>
          <w:ilvl w:val="0"/>
          <w:numId w:val="2"/>
        </w:numPr>
        <w:spacing w:after="40" w:before="40"/>
      </w:pPr>
      <w:r>
        <w:rPr>
          <w:rFonts w:ascii="Arial" w:cs="Arial" w:eastAsia="Arial" w:hAnsi="Arial"/>
          <w:color w:val="1A1A2E"/>
          <w:sz w:val="20"/>
          <w:szCs w:val="20"/>
        </w:rPr>
        <w:t xml:space="preserve">Entra ID sign-in logs for agent identities must be forwarded to the SIEM and monitored for anomalous behaviour.</w:t>
      </w:r>
    </w:p>
    <w:p>
      <w:pPr>
        <w:pStyle w:val="ListParagraph"/>
        <w:numPr>
          <w:ilvl w:val="0"/>
          <w:numId w:val="2"/>
        </w:numPr>
        <w:spacing w:after="40" w:before="40"/>
      </w:pPr>
      <w:r>
        <w:rPr>
          <w:rFonts w:ascii="Arial" w:cs="Arial" w:eastAsia="Arial" w:hAnsi="Arial"/>
          <w:color w:val="1A1A2E"/>
          <w:sz w:val="20"/>
          <w:szCs w:val="20"/>
        </w:rPr>
        <w:t xml:space="preserve">Alerts must be configured for: access outside approved hours, access to out-of-scope systems, credential use from unexpected locations or IPs, and unusual volume or frequency of API calls.</w:t>
      </w:r>
    </w:p>
    <w:p>
      <w:pPr>
        <w:spacing w:after="0" w:before="200"/>
      </w:pPr>
      <w:r>
        <w:t xml:space="preserve"/>
      </w:r>
    </w:p>
    <w:p>
      <w:pPr>
        <w:pStyle w:val="Heading1"/>
        <w:spacing w:after="120" w:before="280"/>
      </w:pPr>
      <w:r>
        <w:t xml:space="preserve">5.  Access Review (Agent UAR)</w:t>
      </w:r>
    </w:p>
    <w:p>
      <w:pPr>
        <w:spacing w:after="60" w:before="60"/>
      </w:pPr>
      <w:r>
        <w:rPr>
          <w:rFonts w:ascii="Arial" w:cs="Arial" w:eastAsia="Arial" w:hAnsi="Arial"/>
          <w:color w:val="1A1A2E"/>
          <w:sz w:val="20"/>
          <w:szCs w:val="20"/>
        </w:rPr>
        <w:t xml:space="preserve">AI agent identities must be subject to a formal User Access Review (UAR) process, equivalent to the UAR process applied to human privileged accounts. Reviews must be conducted by the Human Sponsor.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Risk Tier</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Review Frequency</w:t>
            </w:r>
          </w:p>
        </w:tc>
        <w:tc>
          <w:tcPr>
            <w:tcW w:type="dxa" w:w="4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Review Actions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0000"/>
                <w:sz w:val="20"/>
                <w:szCs w:val="20"/>
              </w:rPr>
              <w:t xml:space="preserve">High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30 days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access attestation, session log review, scope confirmation, secret rotation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B5E00"/>
                <w:sz w:val="20"/>
                <w:szCs w:val="20"/>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Every 90 days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Access attestation, anomaly review, business purpose reconfirmation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4D1A"/>
                <w:sz w:val="20"/>
                <w:szCs w:val="20"/>
              </w:rPr>
              <w:t xml:space="preserve">Low</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180 days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Continued business need attestation, permission scope review</w:t>
            </w:r>
          </w:p>
        </w:tc>
      </w:tr>
    </w:tbl>
    <w:p>
      <w:pPr>
        <w:spacing w:after="0" w:before="80"/>
      </w:pPr>
      <w:r>
        <w:t xml:space="preserve"/>
      </w:r>
    </w:p>
    <w:p>
      <w:pPr>
        <w:spacing w:after="60" w:before="60"/>
      </w:pPr>
      <w:r>
        <w:rPr>
          <w:rFonts w:ascii="Arial" w:cs="Arial" w:eastAsia="Arial" w:hAnsi="Arial"/>
          <w:color w:val="1A1A2E"/>
          <w:sz w:val="20"/>
          <w:szCs w:val="20"/>
        </w:rPr>
        <w:t xml:space="preserve">Any agent identity that fails attestation, has no confirmed business purpose, or whose Human Sponsor cannot be identified must be suspended immediately and escalated for offboarding review.</w:t>
      </w:r>
    </w:p>
    <w:p>
      <w:pPr>
        <w:spacing w:after="0" w:before="200"/>
      </w:pPr>
      <w:r>
        <w:t xml:space="preserve"/>
      </w:r>
    </w:p>
    <w:p>
      <w:pPr>
        <w:pStyle w:val="Heading1"/>
        <w:spacing w:after="120" w:before="280"/>
      </w:pPr>
      <w:r>
        <w:t xml:space="preserve">6.  Offboarding Controls</w:t>
      </w:r>
    </w:p>
    <w:p>
      <w:pPr>
        <w:spacing w:after="60" w:before="60"/>
      </w:pPr>
      <w:r>
        <w:rPr>
          <w:rFonts w:ascii="Arial" w:cs="Arial" w:eastAsia="Arial" w:hAnsi="Arial"/>
          <w:color w:val="1A1A2E"/>
          <w:sz w:val="20"/>
          <w:szCs w:val="20"/>
        </w:rPr>
        <w:t xml:space="preserve">Agent identities must be decommissioned promptly when no longer required. Orphaned agent identities represent a critical security risk and are subject to automatic remediation.</w:t>
      </w:r>
    </w:p>
    <w:p>
      <w:pPr>
        <w:spacing w:after="0" w:before="80"/>
      </w:pPr>
      <w:r>
        <w:t xml:space="preserve"/>
      </w:r>
    </w:p>
    <w:p>
      <w:pPr>
        <w:pStyle w:val="Heading2"/>
        <w:spacing w:after="80" w:before="160"/>
      </w:pPr>
      <w:r>
        <w:t xml:space="preserve">6.1  Offboarding triggers</w:t>
      </w:r>
    </w:p>
    <w:p>
      <w:pPr>
        <w:pStyle w:val="ListParagraph"/>
        <w:numPr>
          <w:ilvl w:val="0"/>
          <w:numId w:val="2"/>
        </w:numPr>
        <w:spacing w:after="40" w:before="40"/>
      </w:pPr>
      <w:r>
        <w:rPr>
          <w:rFonts w:ascii="Arial" w:cs="Arial" w:eastAsia="Arial" w:hAnsi="Arial"/>
          <w:b/>
          <w:bCs/>
          <w:color w:val="1A1A2E"/>
          <w:sz w:val="20"/>
          <w:szCs w:val="20"/>
        </w:rPr>
        <w:t xml:space="preserve">Business process or project the agent supports is discontinued</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Human Sponsor departs or changes role and no replacement is assigned within 5 business days</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Agent fails UAR attestation or access certification</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Agent is found to have been deployed without registration (shadow AI)</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Security incident attributable to the agent is confirmed</w:t>
      </w:r>
      <w:r>
        <w:rPr>
          <w:rFonts w:ascii="Arial" w:cs="Arial" w:eastAsia="Arial" w:hAnsi="Arial"/>
          <w:color w:val="1A1A2E"/>
          <w:sz w:val="20"/>
          <w:szCs w:val="20"/>
        </w:rPr>
        <w:t xml:space="preserve"/>
      </w:r>
    </w:p>
    <w:p>
      <w:pPr>
        <w:pStyle w:val="ListParagraph"/>
        <w:numPr>
          <w:ilvl w:val="0"/>
          <w:numId w:val="2"/>
        </w:numPr>
        <w:spacing w:after="40" w:before="40"/>
      </w:pPr>
      <w:r>
        <w:rPr>
          <w:rFonts w:ascii="Arial" w:cs="Arial" w:eastAsia="Arial" w:hAnsi="Arial"/>
          <w:b/>
          <w:bCs/>
          <w:color w:val="1A1A2E"/>
          <w:sz w:val="20"/>
          <w:szCs w:val="20"/>
        </w:rPr>
        <w:t xml:space="preserve">Agent technology platform or vendor is decommissioned</w:t>
      </w:r>
      <w:r>
        <w:rPr>
          <w:rFonts w:ascii="Arial" w:cs="Arial" w:eastAsia="Arial" w:hAnsi="Arial"/>
          <w:color w:val="1A1A2E"/>
          <w:sz w:val="20"/>
          <w:szCs w:val="20"/>
        </w:rPr>
        <w:t xml:space="preserve"/>
      </w:r>
    </w:p>
    <w:p>
      <w:pPr>
        <w:spacing w:after="0" w:before="80"/>
      </w:pPr>
      <w:r>
        <w:t xml:space="preserve"/>
      </w:r>
    </w:p>
    <w:p>
      <w:pPr>
        <w:pStyle w:val="Heading2"/>
        <w:spacing w:after="80" w:before="160"/>
      </w:pPr>
      <w:r>
        <w:t xml:space="preserve">6.2  Offboarding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1500"/>
        <w:gridCol w:w="1500"/>
      </w:tblGrid>
      <w:tr>
        <w:tc>
          <w:tcPr>
            <w:tcW w:type="dxa" w:w="72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564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Offboarding Action</w:t>
            </w:r>
          </w:p>
        </w:tc>
        <w:tc>
          <w:tcPr>
            <w:tcW w:type="dxa" w:w="1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Owner</w:t>
            </w:r>
          </w:p>
        </w:tc>
        <w:tc>
          <w:tcPr>
            <w:tcW w:type="dxa" w:w="15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SLA</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5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Disable agent identity in Microsoft Entra ID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Team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Revoke all OAuth tokens, client secrets, and API keys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IAM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hours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 CyberArk vault accounts and session recordings archived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PAM Team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RBAC role assignments across all connected systems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IAM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5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IGA system of record (SailPoint / Saviynt) to reflect decommission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Team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48 hours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CMDB asset record to ‘Decommissioned’ 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 Asset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48 hours</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5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Notify Human Sponsor and document offboarding in IAM audit trail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IAM Team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48 hours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Retain audit logs for minimum 7 years per regulatory requirements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Ops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Ongoing</w:t>
            </w:r>
          </w:p>
        </w:tc>
      </w:tr>
    </w:tbl>
    <w:p>
      <w:pPr>
        <w:spacing w:after="0" w:before="200"/>
      </w:pPr>
      <w:r>
        <w:t xml:space="preserve"/>
      </w:r>
    </w:p>
    <w:p>
      <w:pPr>
        <w:pStyle w:val="Heading1"/>
        <w:spacing w:after="120" w:before="280"/>
      </w:pPr>
      <w:r>
        <w:t xml:space="preserve">7.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CISO / IAM Director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owner. Approves exceptions. Escalation point for unresolved risk.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Human Sponsor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Accountable for individual agent. Approves registration, attests access, triggers offboarding.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IAM / PAM Team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Executes registration, access provisioning, UAR scheduling, and offboarding actions.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Security Architecture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Reviews high-risk agent designs. Approves compound privilege patterns.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Security Operations (SOC)</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Monitors agent activity via SIEM. Investigates anomalies. Responds to agent-related incidents.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Compliance / GRC</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Ensures policy alignment with APRA CPS234/230, ISM, PSPF. Supports audit readiness.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IT Asset Management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Maintains CMDB records for all agent identities.</w:t>
            </w:r>
          </w:p>
        </w:tc>
      </w:tr>
    </w:tbl>
    <w:p>
      <w:pPr>
        <w:spacing w:after="0" w:before="200"/>
      </w:pPr>
      <w:r>
        <w:t xml:space="preserve"/>
      </w:r>
    </w:p>
    <w:p>
      <w:pPr>
        <w:pStyle w:val="Heading1"/>
        <w:spacing w:after="120" w:before="280"/>
      </w:pPr>
      <w:r>
        <w:t xml:space="preserve">8.  Regulatory Alignment</w:t>
      </w:r>
    </w:p>
    <w:p>
      <w:pPr>
        <w:spacing w:after="60" w:before="60"/>
      </w:pPr>
      <w:r>
        <w:rPr>
          <w:rFonts w:ascii="Arial" w:cs="Arial" w:eastAsia="Arial" w:hAnsi="Arial"/>
          <w:color w:val="1A1A2E"/>
          <w:sz w:val="20"/>
          <w:szCs w:val="20"/>
        </w:rPr>
        <w:t xml:space="preserve">This policy supports compliance with the following regulatory frameworks applicable to Australian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Framework</w:t>
            </w:r>
          </w:p>
        </w:tc>
        <w:tc>
          <w:tcPr>
            <w:tcW w:type="dxa" w:w="67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Relevant Requirement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APRA CPS 234</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asset classification, access controls, incident notification, and third-party risk management obligations extend to AI agent identities.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APRA CPS 230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Operational risk management requires identification and governance of AI agents as operational dependencies.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ISM / Essential Eight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control, privileged access management, and credential management controls apply to agent identities.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PSPF (Government)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Protective security obligations apply to AI agents accessing government systems or PROTECTED information.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NIST AI RMF (Govern)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Governs AI risk management through organisational accountability, policies, and oversight mechanisms aligned to this policy.</w:t>
            </w:r>
          </w:p>
        </w:tc>
      </w:tr>
    </w:tbl>
    <w:p>
      <w:pPr>
        <w:spacing w:after="0" w:before="200"/>
      </w:pPr>
      <w:r>
        <w:t xml:space="preserve"/>
      </w:r>
    </w:p>
    <w:p>
      <w:pPr>
        <w:pStyle w:val="Heading1"/>
        <w:spacing w:after="120" w:before="280"/>
      </w:pPr>
      <w:r>
        <w:t xml:space="preserve">9.  Policy Exceptions and Breaches</w:t>
      </w:r>
    </w:p>
    <w:p>
      <w:pPr>
        <w:pStyle w:val="Heading2"/>
        <w:spacing w:after="80" w:before="160"/>
      </w:pPr>
      <w:r>
        <w:t xml:space="preserve">9.1  Exceptions</w:t>
      </w:r>
    </w:p>
    <w:p>
      <w:pPr>
        <w:spacing w:after="60" w:before="60"/>
      </w:pPr>
      <w:r>
        <w:rPr>
          <w:rFonts w:ascii="Arial" w:cs="Arial" w:eastAsia="Arial" w:hAnsi="Arial"/>
          <w:color w:val="1A1A2E"/>
          <w:sz w:val="20"/>
          <w:szCs w:val="20"/>
        </w:rPr>
        <w:t xml:space="preserve">Exceptions to this policy must be submitted to the CISO in writing, including documented business justification, risk assessment, and compensating controls. All approved exceptions are time-limited (maximum 90 days) and must be recorded in the GRC register.</w:t>
      </w:r>
    </w:p>
    <w:p>
      <w:pPr>
        <w:pStyle w:val="Heading2"/>
        <w:spacing w:after="80" w:before="160"/>
      </w:pPr>
      <w:r>
        <w:t xml:space="preserve">9.2  Breaches</w:t>
      </w:r>
    </w:p>
    <w:p>
      <w:pPr>
        <w:spacing w:after="60" w:before="60"/>
      </w:pPr>
      <w:r>
        <w:rPr>
          <w:rFonts w:ascii="Arial" w:cs="Arial" w:eastAsia="Arial" w:hAnsi="Arial"/>
          <w:color w:val="1A1A2E"/>
          <w:sz w:val="20"/>
          <w:szCs w:val="20"/>
        </w:rPr>
        <w:t xml:space="preserve">Breaches of this policy (including deployment of unregistered agents, failure to offboard, or assignment of excessive permissions) must be reported as a security incident. Repeated or deliberate breaches may result in disciplinary action in accordance with the organisation’s Code of Conduct.</w:t>
      </w:r>
    </w:p>
    <w:p>
      <w:pPr>
        <w:spacing w:after="0" w:before="200"/>
      </w:pPr>
      <w:r>
        <w:t xml:space="preserve"/>
      </w:r>
    </w:p>
    <w:p>
      <w:pPr>
        <w:pStyle w:val="Heading1"/>
        <w:spacing w:after="120" w:before="280"/>
      </w:pPr>
      <w:r>
        <w:t xml:space="preserve">10.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960"/>
        <w:gridCol w:w="1800"/>
      </w:tblGrid>
      <w:tr>
        <w:tc>
          <w:tcPr>
            <w:tcW w:type="dxa" w:w="12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4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96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Author / Reviewer</w:t>
            </w:r>
          </w:p>
        </w:tc>
        <w:tc>
          <w:tcPr>
            <w:tcW w:type="dxa" w:w="1800"/>
            <w:tcBorders>
              <w:top w:val="single" w:color="CCCCCC" w:sz="1"/>
              <w:left w:val="single" w:color="CCCCCC" w:sz="1"/>
              <w:bottom w:val="single" w:color="CCCCCC" w:sz="1"/>
              <w:right w:val="single" w:color="CCCCCC" w:sz="1"/>
            </w:tcBorders>
            <w:shd w:fill="1F4E8C" w:val="clear"/>
            <w:tcMar>
              <w:top w:type="dxa" w:w="80"/>
              <w:left w:type="dxa" w:w="120"/>
              <w:bottom w:type="dxa" w:w="80"/>
              <w:right w:type="dxa" w:w="120"/>
            </w:tcMar>
          </w:tcPr>
          <w:p>
            <w:r>
              <w:rPr>
                <w:rFonts w:ascii="Arial" w:cs="Arial" w:eastAsia="Arial" w:hAnsi="Arial"/>
                <w:b/>
                <w:bCs/>
                <w:color w:val="FFFFFF"/>
                <w:sz w:val="22"/>
                <w:szCs w:val="22"/>
              </w:rPr>
              <w:t xml:space="preserve">Change Summary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[DD Month YYYY]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 Name], IAM Director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release</w:t>
            </w:r>
          </w:p>
        </w:tc>
      </w:tr>
    </w:tbl>
    <w:p>
      <w:pPr>
        <w:spacing w:after="0" w:before="160"/>
      </w:pPr>
      <w:r>
        <w:t xml:space="preserve"/>
      </w:r>
    </w:p>
    <w:p>
      <w:pPr>
        <w:shd w:fill="F2F2F2" w:val="clear"/>
        <w:spacing w:after="0" w:before="0"/>
      </w:pPr>
      <w:r>
        <w:rPr>
          <w:rFonts w:ascii="Arial" w:cs="Arial" w:eastAsia="Arial" w:hAnsi="Arial"/>
          <w:i/>
          <w:iCs/>
          <w:color w:val="595959"/>
          <w:sz w:val="18"/>
          <w:szCs w:val="18"/>
        </w:rPr>
        <w:t xml:space="preserve">  This policy is owned by the IAM/Cybersecurity function and must be reviewed annually or when material changes occur to the organisation’s AI deployment landscape, identity platform, or applicable regulatory requirements.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1"/>
      </w:pBdr>
      <w:tabs>
        <w:tab w:val="right" w:pos="9026"/>
      </w:tabs>
      <w:spacing w:before="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1"/>
      </w:pBdr>
      <w:tabs>
        <w:tab w:val="right" w:pos="9026"/>
      </w:tabs>
      <w:spacing w:after="0"/>
    </w:pPr>
    <w:r>
      <w:rPr>
        <w:rFonts w:ascii="Arial" w:cs="Arial" w:eastAsia="Arial" w:hAnsi="Arial"/>
        <w:b/>
        <w:bCs/>
        <w:color w:val="1F4E8C"/>
        <w:sz w:val="18"/>
        <w:szCs w:val="18"/>
      </w:rPr>
      <w:t xml:space="preserve">AI Agent Identity Policy</w:t>
    </w:r>
    <w:r>
      <w:rPr>
        <w:rFonts w:ascii="Arial" w:cs="Arial" w:eastAsia="Arial" w:hAnsi="Arial"/>
        <w:color w:val="595959"/>
        <w:sz w:val="18"/>
        <w:szCs w:val="18"/>
      </w:rPr>
      <w:t xml:space="preserve">	[Organisation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1F4E8C"/>
      </w:rPr>
    </w:lvl>
  </w:abstractNum>
  <w:abstractNum w:abstractNumId="3" w15:restartNumberingAfterBreak="0">
    <w:multiLevelType w:val="hybridMultilevel"/>
    <w:lvl w:ilvl="0" w15:tentative="1">
      <w:start w:val="1"/>
      <w:numFmt w:val="bullet"/>
      <w:lvlText w:val="◦"/>
      <w:lvlJc w:val="lef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280"/>
      <w:outlineLvl w:val="0"/>
    </w:pPr>
    <w:rPr>
      <w:rFonts w:ascii="Arial" w:cs="Arial" w:eastAsia="Arial" w:hAnsi="Arial"/>
      <w:b/>
      <w:bCs/>
      <w:color w:val="1F4E8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2026-04-10T09:58:03.549Z</dcterms:created>
  <dcterms:modified xsi:type="dcterms:W3CDTF">2026-04-10T09:58:03.549Z</dcterms:modified>
</cp:coreProperties>
</file>

<file path=docProps/custom.xml><?xml version="1.0" encoding="utf-8"?>
<Properties xmlns="http://schemas.openxmlformats.org/officeDocument/2006/custom-properties" xmlns:vt="http://schemas.openxmlformats.org/officeDocument/2006/docPropsVTypes"/>
</file>