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hd w:fill="1F4E8C" w:val="clear"/>
        <w:spacing w:after="0" w:before="0"/>
      </w:pPr>
      <w:r>
        <w:rPr>
          <w:rFonts w:ascii="Arial" w:cs="Arial" w:eastAsia="Arial" w:hAnsi="Arial"/>
          <w:b/>
          <w:bCs/>
          <w:color w:val="FFFFFF"/>
          <w:sz w:val="44"/>
          <w:szCs w:val="44"/>
        </w:rPr>
        <w:t xml:space="preserve">  AI Agent Governance</w:t>
      </w:r>
    </w:p>
    <w:p>
      <w:pPr>
        <w:shd w:fill="2E75B6" w:val="clear"/>
        <w:spacing w:after="0" w:before="0"/>
      </w:pPr>
      <w:r>
        <w:rPr>
          <w:rFonts w:ascii="Arial" w:cs="Arial" w:eastAsia="Arial" w:hAnsi="Arial"/>
          <w:b/>
          <w:bCs/>
          <w:color w:val="FFFFFF"/>
          <w:sz w:val="36"/>
          <w:szCs w:val="36"/>
        </w:rPr>
        <w:t xml:space="preserve">  Gap Assessment Tool</w:t>
      </w:r>
    </w:p>
    <w:p>
      <w:pPr>
        <w:shd w:fill="D6E4F7" w:val="clear"/>
        <w:spacing w:after="0" w:before="0"/>
      </w:pPr>
      <w:r>
        <w:rPr>
          <w:rFonts w:ascii="Arial" w:cs="Arial" w:eastAsia="Arial" w:hAnsi="Arial"/>
          <w:color w:val="1F4E8C"/>
          <w:sz w:val="22"/>
          <w:szCs w:val="22"/>
        </w:rPr>
        <w:t xml:space="preserve">  Applying IAM &amp; PAM governance principles to AI agent identities</w:t>
      </w:r>
    </w:p>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Client organisation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595959"/>
                <w:sz w:val="19"/>
                <w:szCs w:val="19"/>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Assessment date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595959"/>
                <w:sz w:val="19"/>
                <w:szCs w:val="19"/>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Assessor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1A1A2E"/>
                <w:sz w:val="19"/>
                <w:szCs w:val="19"/>
              </w:rPr>
              <w:t xml:space="preserve">Rajani Arjula, IAM Director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Version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1A1A2E"/>
                <w:sz w:val="19"/>
                <w:szCs w:val="19"/>
              </w:rPr>
              <w:t xml:space="preserve">1.0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Frameworks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1A1A2E"/>
                <w:sz w:val="19"/>
                <w:szCs w:val="19"/>
              </w:rPr>
              <w:t xml:space="preserve">APRA CPS234/230 · NIST AI RMF · Microsoft Entra Agent ID · ISO 42001 · ISM Essential Eight</w:t>
            </w:r>
          </w:p>
        </w:tc>
      </w:tr>
    </w:tbl>
    <w:p>
      <w:pPr>
        <w:spacing w:after="80" w:before="160"/>
      </w:pPr>
      <w:r>
        <w:t xml:space="preserve"/>
      </w:r>
    </w:p>
    <w:p>
      <w:pPr>
        <w:shd w:fill="D6E4F7" w:val="clear"/>
        <w:spacing w:after="0" w:before="0"/>
      </w:pPr>
      <w:r>
        <w:rPr>
          <w:rFonts w:ascii="Arial" w:cs="Arial" w:eastAsia="Arial" w:hAnsi="Arial"/>
          <w:color w:val="1F4E8C"/>
          <w:sz w:val="20"/>
          <w:szCs w:val="20"/>
        </w:rPr>
        <w:t xml:space="preserve">  Purpose: This tool assesses an organisation’s AI agent governance maturity across seven critical control domains. It applies proven IAM and PAM governance principles to the emerging challenge of non-human identity. Each gap is scored Yes / Partial / No and rated High / Medium / Low risk to produce a prioritised remediation roadmap.</w:t>
      </w:r>
    </w:p>
    <w:p>
      <w:pPr>
        <w:spacing w:after="0" w:before="200"/>
      </w:pPr>
      <w:r>
        <w:t xml:space="preserve"/>
      </w:r>
    </w:p>
    <w:p>
      <w:pPr>
        <w:pStyle w:val="Heading1"/>
        <w:spacing w:after="120" w:before="280"/>
      </w:pPr>
      <w:r>
        <w:t xml:space="preserve">1.  How to use this tool</w:t>
      </w:r>
    </w:p>
    <w:p>
      <w:pPr>
        <w:spacing w:after="60" w:before="60"/>
      </w:pPr>
      <w:r>
        <w:rPr>
          <w:rFonts w:ascii="Arial" w:cs="Arial" w:eastAsia="Arial" w:hAnsi="Arial"/>
          <w:color w:val="1A1A2E"/>
          <w:sz w:val="20"/>
          <w:szCs w:val="20"/>
        </w:rPr>
        <w:t xml:space="preserve">Work through each control domain with the client. For each question, mark the status (Yes / Partial / No), rate the risk if the control is absent or partial, and capture evidence or notes. A ‘Yes’ means the control is in place and operating effectively. ‘Partial’ means something exists but is incomplete, inconsistent, or not formally governed. ‘No’ means the control is absent.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900"/>
        <w:gridCol w:w="2660"/>
      </w:tblGrid>
      <w:tr>
        <w:tc>
          <w:tcPr>
            <w:tcW w:type="dxa" w:w="32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16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Score</w:t>
            </w:r>
          </w:p>
        </w:tc>
        <w:tc>
          <w:tcPr>
            <w:tcW w:type="dxa" w:w="1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 implication</w:t>
            </w:r>
          </w:p>
        </w:tc>
        <w:tc>
          <w:tcPr>
            <w:tcW w:type="dxa" w:w="26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Recommended action</w:t>
            </w:r>
          </w:p>
        </w:tc>
      </w:tr>
      <w:tr>
        <w:tc>
          <w:tcPr>
            <w:tcW w:type="dxa" w:w="3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Yes — control in place</w:t>
            </w:r>
          </w:p>
        </w:tc>
        <w:tc>
          <w:tcPr>
            <w:tcW w:type="dxa" w:w="16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0" w:before="0"/>
            </w:pPr>
            <w:r>
              <w:rPr>
                <w:rFonts w:ascii="Arial" w:cs="Arial" w:eastAsia="Arial" w:hAnsi="Arial"/>
                <w:b w:val="false"/>
                <w:bCs w:val="false"/>
                <w:color w:val="1A4D1A"/>
                <w:sz w:val="19"/>
                <w:szCs w:val="19"/>
              </w:rPr>
              <w:t xml:space="preserve">2 pts</w:t>
            </w:r>
          </w:p>
        </w:tc>
        <w:tc>
          <w:tcPr>
            <w:tcW w:type="dxa" w:w="1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0" w:before="0"/>
            </w:pPr>
            <w:r>
              <w:rPr>
                <w:rFonts w:ascii="Arial" w:cs="Arial" w:eastAsia="Arial" w:hAnsi="Arial"/>
                <w:b w:val="false"/>
                <w:bCs w:val="false"/>
                <w:color w:val="7B5E00"/>
                <w:sz w:val="19"/>
                <w:szCs w:val="19"/>
              </w:rPr>
              <w:t xml:space="preserve">Baseline met</w:t>
            </w:r>
          </w:p>
        </w:tc>
        <w:tc>
          <w:tcPr>
            <w:tcW w:type="dxa" w:w="26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0" w:before="0"/>
            </w:pPr>
            <w:r>
              <w:rPr>
                <w:rFonts w:ascii="Arial" w:cs="Arial" w:eastAsia="Arial" w:hAnsi="Arial"/>
                <w:b w:val="false"/>
                <w:bCs w:val="false"/>
                <w:color w:val="8B0000"/>
                <w:sz w:val="19"/>
                <w:szCs w:val="19"/>
              </w:rPr>
              <w:t xml:space="preserve">Monitor and maintain</w:t>
            </w:r>
          </w:p>
        </w:tc>
      </w:tr>
      <w:tr>
        <w:tc>
          <w:tcPr>
            <w:tcW w:type="dxa" w:w="3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Partial — incomplete or informal</w:t>
            </w:r>
          </w:p>
        </w:tc>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before="0"/>
            </w:pPr>
            <w:r>
              <w:rPr>
                <w:rFonts w:ascii="Arial" w:cs="Arial" w:eastAsia="Arial" w:hAnsi="Arial"/>
                <w:b w:val="false"/>
                <w:bCs w:val="false"/>
                <w:color w:val="1A4D1A"/>
                <w:sz w:val="19"/>
                <w:szCs w:val="19"/>
              </w:rPr>
              <w:t xml:space="preserve">1 pt</w:t>
            </w:r>
          </w:p>
        </w:tc>
        <w:tc>
          <w:tcPr>
            <w:tcW w:type="dxa" w:w="19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before="0"/>
            </w:pPr>
            <w:r>
              <w:rPr>
                <w:rFonts w:ascii="Arial" w:cs="Arial" w:eastAsia="Arial" w:hAnsi="Arial"/>
                <w:b w:val="false"/>
                <w:bCs w:val="false"/>
                <w:color w:val="7B5E00"/>
                <w:sz w:val="19"/>
                <w:szCs w:val="19"/>
              </w:rPr>
              <w:t xml:space="preserve">Residual risk exists</w:t>
            </w:r>
          </w:p>
        </w:tc>
        <w:tc>
          <w:tcPr>
            <w:tcW w:type="dxa" w:w="26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before="0"/>
            </w:pPr>
            <w:r>
              <w:rPr>
                <w:rFonts w:ascii="Arial" w:cs="Arial" w:eastAsia="Arial" w:hAnsi="Arial"/>
                <w:b w:val="false"/>
                <w:bCs w:val="false"/>
                <w:color w:val="8B0000"/>
                <w:sz w:val="19"/>
                <w:szCs w:val="19"/>
              </w:rPr>
              <w:t xml:space="preserve">Formalise and complete within 90 days</w:t>
            </w:r>
          </w:p>
        </w:tc>
      </w:tr>
      <w:tr>
        <w:tc>
          <w:tcPr>
            <w:tcW w:type="dxa" w:w="32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No — control absent</w:t>
            </w:r>
          </w:p>
        </w:tc>
        <w:tc>
          <w:tcPr>
            <w:tcW w:type="dxa" w:w="16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val="false"/>
                <w:bCs w:val="false"/>
                <w:color w:val="1A4D1A"/>
                <w:sz w:val="19"/>
                <w:szCs w:val="19"/>
              </w:rPr>
              <w:t xml:space="preserve">0 pts</w:t>
            </w:r>
          </w:p>
        </w:tc>
        <w:tc>
          <w:tcPr>
            <w:tcW w:type="dxa" w:w="19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val="false"/>
                <w:bCs w:val="false"/>
                <w:color w:val="7B5E00"/>
                <w:sz w:val="19"/>
                <w:szCs w:val="19"/>
              </w:rPr>
              <w:t xml:space="preserve">Active risk</w:t>
            </w:r>
          </w:p>
        </w:tc>
        <w:tc>
          <w:tcPr>
            <w:tcW w:type="dxa" w:w="26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val="false"/>
                <w:bCs w:val="false"/>
                <w:color w:val="8B0000"/>
                <w:sz w:val="19"/>
                <w:szCs w:val="19"/>
              </w:rPr>
              <w:t xml:space="preserve">Remediate as priority</w:t>
            </w:r>
          </w:p>
        </w:tc>
      </w:tr>
    </w:tbl>
    <w:p>
      <w:pPr>
        <w:spacing w:after="0" w:before="80"/>
      </w:pPr>
      <w:r>
        <w:t xml:space="preserve"/>
      </w:r>
    </w:p>
    <w:p>
      <w:pPr>
        <w:spacing w:after="60" w:before="60"/>
      </w:pPr>
      <w:r>
        <w:rPr>
          <w:rFonts w:ascii="Arial" w:cs="Arial" w:eastAsia="Arial" w:hAnsi="Arial"/>
          <w:color w:val="1A1A2E"/>
          <w:sz w:val="20"/>
          <w:szCs w:val="20"/>
        </w:rPr>
        <w:t xml:space="preserve">Maximum score: 34 points (17 questions × 2). Score each section and record totals in the Summary Scorecard (Section 9).</w:t>
      </w:r>
    </w:p>
    <w:p>
      <w:pPr>
        <w:spacing w:after="0" w:before="200"/>
      </w:pPr>
      <w:r>
        <w:t xml:space="preserve"/>
      </w:r>
    </w:p>
    <w:p>
      <w:pPr>
        <w:shd w:fill="1F4E8C" w:val="clear"/>
        <w:spacing w:after="100" w:before="240"/>
      </w:pPr>
      <w:r>
        <w:rPr>
          <w:rFonts w:ascii="Arial" w:cs="Arial" w:eastAsia="Arial" w:hAnsi="Arial"/>
          <w:b/>
          <w:bCs/>
          <w:color w:val="FFFFFF"/>
          <w:sz w:val="24"/>
          <w:szCs w:val="24"/>
        </w:rPr>
        <w:t xml:space="preserve">  Domain 1 — Agent Identity Inventory</w:t>
      </w:r>
    </w:p>
    <w:p>
      <w:pPr>
        <w:spacing w:after="60" w:before="60"/>
      </w:pPr>
      <w:r>
        <w:rPr>
          <w:rFonts w:ascii="Arial" w:cs="Arial" w:eastAsia="Arial" w:hAnsi="Arial"/>
          <w:color w:val="1A1A2E"/>
          <w:sz w:val="20"/>
          <w:szCs w:val="20"/>
        </w:rPr>
        <w:t xml:space="preserve">Can you see every agent? You cannot govern what you cannot see. This domain assesses whether the organisation has visibility over all deployed AI agents, including those created outside central IT control.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360"/>
        <w:gridCol w:w="960"/>
        <w:gridCol w:w="2240"/>
      </w:tblGrid>
      <w:tr>
        <w:tc>
          <w:tcPr>
            <w:tcW w:type="dxa" w:w="4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Control area</w:t>
            </w:r>
          </w:p>
        </w:tc>
        <w:tc>
          <w:tcPr>
            <w:tcW w:type="dxa" w:w="2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Assessment question</w:t>
            </w:r>
          </w:p>
        </w:tc>
        <w:tc>
          <w:tcPr>
            <w:tcW w:type="dxa" w:w="13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Notes / evidence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1.1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Discovery</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Does the organisation maintain a complete, current inventory of all AI agents deployed across all environments (cloud, on-prem, SaaS, hybrid)?</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Shadow AI</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Is there a process to detect and remediate AI agents deployed without central IT or security approval (‘shadow AI’)?</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Agent classification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all agents classified by risk tier (High / Medium / Low) based on data access, system reach, and autonomy level?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80"/>
      </w:pPr>
      <w:r>
        <w:t xml:space="preserve"/>
      </w:r>
    </w:p>
    <w:p>
      <w:pPr>
        <w:spacing w:after="60" w:before="60"/>
      </w:pPr>
      <w:r>
        <w:rPr>
          <w:rFonts w:ascii="Arial" w:cs="Arial" w:eastAsia="Arial" w:hAnsi="Arial"/>
          <w:color w:val="1A1A2E"/>
          <w:sz w:val="20"/>
          <w:szCs w:val="20"/>
        </w:rPr>
        <w:t xml:space="preserve">Industry benchmark: Only 24.4% of organisations have full visibility into which AI agents are communicating with each other (Gravitee 2026). The average organisation runs 37+ deployed agents, most invisible to security teams.</w:t>
      </w:r>
    </w:p>
    <w:p>
      <w:pPr>
        <w:spacing w:after="0" w:before="200"/>
      </w:pPr>
      <w:r>
        <w:t xml:space="preserve"/>
      </w:r>
    </w:p>
    <w:p>
      <w:pPr>
        <w:shd w:fill="1F4E8C" w:val="clear"/>
        <w:spacing w:after="100" w:before="240"/>
      </w:pPr>
      <w:r>
        <w:rPr>
          <w:rFonts w:ascii="Arial" w:cs="Arial" w:eastAsia="Arial" w:hAnsi="Arial"/>
          <w:b/>
          <w:bCs/>
          <w:color w:val="FFFFFF"/>
          <w:sz w:val="24"/>
          <w:szCs w:val="24"/>
        </w:rPr>
        <w:t xml:space="preserve">  Domain 2 — Agent Identity &amp; Authentication</w:t>
      </w:r>
    </w:p>
    <w:p>
      <w:pPr>
        <w:spacing w:after="60" w:before="60"/>
      </w:pPr>
      <w:r>
        <w:rPr>
          <w:rFonts w:ascii="Arial" w:cs="Arial" w:eastAsia="Arial" w:hAnsi="Arial"/>
          <w:color w:val="1A1A2E"/>
          <w:sz w:val="20"/>
          <w:szCs w:val="20"/>
        </w:rPr>
        <w:t xml:space="preserve">Does every agent have its own identity? Using shared API keys or human user accounts for agents creates the same accountability gaps that shared admin passwords created in early PAM programs.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360"/>
        <w:gridCol w:w="960"/>
        <w:gridCol w:w="2240"/>
      </w:tblGrid>
      <w:tr>
        <w:tc>
          <w:tcPr>
            <w:tcW w:type="dxa" w:w="4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Control area</w:t>
            </w:r>
          </w:p>
        </w:tc>
        <w:tc>
          <w:tcPr>
            <w:tcW w:type="dxa" w:w="2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Assessment question</w:t>
            </w:r>
          </w:p>
        </w:tc>
        <w:tc>
          <w:tcPr>
            <w:tcW w:type="dxa" w:w="13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Notes / evidence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2.1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Dedicated identity</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Does each AI agent have a dedicated, individual identity (e.g. Entra Agent ID or equivalent) rather than a shared service account or human user account?</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Credential governance</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all agent credentials (API keys, secrets, certificates, tokens) stored in a secrets vault (e.g. CyberArk, Azure Key Vault) with enforced rotation?</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Authentication method</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agents prohibited from using static long-lived credentials or hardcoded secrets in code repositories?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80"/>
      </w:pPr>
      <w:r>
        <w:t xml:space="preserve"/>
      </w:r>
    </w:p>
    <w:p>
      <w:pPr>
        <w:spacing w:after="60" w:before="60"/>
      </w:pPr>
      <w:r>
        <w:rPr>
          <w:rFonts w:ascii="Arial" w:cs="Arial" w:eastAsia="Arial" w:hAnsi="Arial"/>
          <w:color w:val="1A1A2E"/>
          <w:sz w:val="20"/>
          <w:szCs w:val="20"/>
        </w:rPr>
        <w:t xml:space="preserve">Industry benchmark: 45.6% of teams still rely on shared API keys for agent authentication. Only 22% treat agents as independent identities (State of AI Agent Security 2026).</w:t>
      </w:r>
    </w:p>
    <w:p>
      <w:pPr>
        <w:spacing w:after="0" w:before="200"/>
      </w:pPr>
      <w:r>
        <w:t xml:space="preserve"/>
      </w:r>
    </w:p>
    <w:p>
      <w:r>
        <w:br w:type="page"/>
      </w:r>
    </w:p>
    <w:p>
      <w:pPr>
        <w:shd w:fill="1F4E8C" w:val="clear"/>
        <w:spacing w:after="100" w:before="240"/>
      </w:pPr>
      <w:r>
        <w:rPr>
          <w:rFonts w:ascii="Arial" w:cs="Arial" w:eastAsia="Arial" w:hAnsi="Arial"/>
          <w:b/>
          <w:bCs/>
          <w:color w:val="FFFFFF"/>
          <w:sz w:val="24"/>
          <w:szCs w:val="24"/>
        </w:rPr>
        <w:t xml:space="preserve">  Domain 3 — Human Sponsorship &amp; Accountability</w:t>
      </w:r>
    </w:p>
    <w:p>
      <w:pPr>
        <w:spacing w:after="60" w:before="60"/>
      </w:pPr>
      <w:r>
        <w:rPr>
          <w:rFonts w:ascii="Arial" w:cs="Arial" w:eastAsia="Arial" w:hAnsi="Arial"/>
          <w:color w:val="1A1A2E"/>
          <w:sz w:val="20"/>
          <w:szCs w:val="20"/>
        </w:rPr>
        <w:t xml:space="preserve">Is there a named human accountable for every agent? Without a designated sponsor, agents persist beyond their useful life, accumulate access, and become ungovernable when something goes wrong.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360"/>
        <w:gridCol w:w="960"/>
        <w:gridCol w:w="2240"/>
      </w:tblGrid>
      <w:tr>
        <w:tc>
          <w:tcPr>
            <w:tcW w:type="dxa" w:w="4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Control area</w:t>
            </w:r>
          </w:p>
        </w:tc>
        <w:tc>
          <w:tcPr>
            <w:tcW w:type="dxa" w:w="2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Assessment question</w:t>
            </w:r>
          </w:p>
        </w:tc>
        <w:tc>
          <w:tcPr>
            <w:tcW w:type="dxa" w:w="13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Notes / evidence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3.1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Sponsor assignment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Does every deployed AI agent have a named Human Sponsor who has formally accepted accountability for the agent’s behaviour, access, and lifecycle?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3.2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Sponsor obligations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sponsor responsibilities formally documented, including access attestation, incident escalation, and offboarding authority?</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Sponsor succession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Is there a process to suspend an agent within a defined timeframe if its sponsor departs or changes role without a replacement being assigned?</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80"/>
      </w:pPr>
      <w:r>
        <w:t xml:space="preserve"/>
      </w:r>
    </w:p>
    <w:p>
      <w:pPr>
        <w:spacing w:after="60" w:before="60"/>
      </w:pPr>
      <w:r>
        <w:rPr>
          <w:rFonts w:ascii="Arial" w:cs="Arial" w:eastAsia="Arial" w:hAnsi="Arial"/>
          <w:color w:val="1A1A2E"/>
          <w:sz w:val="20"/>
          <w:szCs w:val="20"/>
        </w:rPr>
        <w:t xml:space="preserve">Why it matters: When a security incident involves an AI agent, the first question from regulators and auditors will be ‘who was accountable?’ Without a documented sponsor, the answer is nobody — which is the worst possible answer.</w:t>
      </w:r>
    </w:p>
    <w:p>
      <w:pPr>
        <w:spacing w:after="0" w:before="200"/>
      </w:pPr>
      <w:r>
        <w:t xml:space="preserve"/>
      </w:r>
    </w:p>
    <w:p>
      <w:pPr>
        <w:shd w:fill="1F4E8C" w:val="clear"/>
        <w:spacing w:after="100" w:before="240"/>
      </w:pPr>
      <w:r>
        <w:rPr>
          <w:rFonts w:ascii="Arial" w:cs="Arial" w:eastAsia="Arial" w:hAnsi="Arial"/>
          <w:b/>
          <w:bCs/>
          <w:color w:val="FFFFFF"/>
          <w:sz w:val="24"/>
          <w:szCs w:val="24"/>
        </w:rPr>
        <w:t xml:space="preserve">  Domain 4 — Least Privilege &amp; Access Controls</w:t>
      </w:r>
    </w:p>
    <w:p>
      <w:pPr>
        <w:spacing w:after="60" w:before="60"/>
      </w:pPr>
      <w:r>
        <w:rPr>
          <w:rFonts w:ascii="Arial" w:cs="Arial" w:eastAsia="Arial" w:hAnsi="Arial"/>
          <w:color w:val="1A1A2E"/>
          <w:sz w:val="20"/>
          <w:szCs w:val="20"/>
        </w:rPr>
        <w:t xml:space="preserve">Are agents granted only what they need? The ‘superuser problem’ — agents accumulating broad permissions across multiple systems — is the AI equivalent of the over-privileged admin account. It turns a single compromise into a full environment breach.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360"/>
        <w:gridCol w:w="960"/>
        <w:gridCol w:w="2240"/>
      </w:tblGrid>
      <w:tr>
        <w:tc>
          <w:tcPr>
            <w:tcW w:type="dxa" w:w="4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Control area</w:t>
            </w:r>
          </w:p>
        </w:tc>
        <w:tc>
          <w:tcPr>
            <w:tcW w:type="dxa" w:w="2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Assessment question</w:t>
            </w:r>
          </w:p>
        </w:tc>
        <w:tc>
          <w:tcPr>
            <w:tcW w:type="dxa" w:w="13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Notes / evidence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4.1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Scope restriction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agent permissions scoped to the minimum required for the documented business function, with explicit prohibition on broad roles (e.g. Global Admin, Owner)?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4.2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Just-in-time access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For high-risk agents, is privileged access provisioned on-demand with time-bound controls rather than standing permissions?</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4.3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Execution layer controls</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agent tool invocations (API calls, database writes, workflow triggers) governed by runtime policy enforcement, not just deployment-time approval?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4.4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Conditional Access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Conditional Access or equivalent policies applied to agent identities, enforcing IP restrictions, time controls, and scope limitations?</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80"/>
      </w:pPr>
      <w:r>
        <w:t xml:space="preserve"/>
      </w:r>
    </w:p>
    <w:p>
      <w:pPr>
        <w:spacing w:after="60" w:before="60"/>
      </w:pPr>
      <w:r>
        <w:rPr>
          <w:rFonts w:ascii="Arial" w:cs="Arial" w:eastAsia="Arial" w:hAnsi="Arial"/>
          <w:color w:val="1A1A2E"/>
          <w:sz w:val="20"/>
          <w:szCs w:val="20"/>
        </w:rPr>
        <w:t xml:space="preserve">Industry benchmark: 82% of executives report confidence that their policies protect against unauthorised agent actions. But only 14.4% of organisations send agents to production with full security approval (State of AI Agent Security 2026). Policy documentation and runtime enforcement are not the same thing.</w:t>
      </w:r>
    </w:p>
    <w:p>
      <w:pPr>
        <w:spacing w:after="0" w:before="200"/>
      </w:pPr>
      <w:r>
        <w:t xml:space="preserve"/>
      </w:r>
    </w:p>
    <w:p>
      <w:pPr>
        <w:shd w:fill="1F4E8C" w:val="clear"/>
        <w:spacing w:after="100" w:before="240"/>
      </w:pPr>
      <w:r>
        <w:rPr>
          <w:rFonts w:ascii="Arial" w:cs="Arial" w:eastAsia="Arial" w:hAnsi="Arial"/>
          <w:b/>
          <w:bCs/>
          <w:color w:val="FFFFFF"/>
          <w:sz w:val="24"/>
          <w:szCs w:val="24"/>
        </w:rPr>
        <w:t xml:space="preserve">  Domain 5 — Access Reviews &amp; Attestation</w:t>
      </w:r>
    </w:p>
    <w:p>
      <w:pPr>
        <w:spacing w:after="60" w:before="60"/>
      </w:pPr>
      <w:r>
        <w:rPr>
          <w:rFonts w:ascii="Arial" w:cs="Arial" w:eastAsia="Arial" w:hAnsi="Arial"/>
          <w:color w:val="1A1A2E"/>
          <w:sz w:val="20"/>
          <w:szCs w:val="20"/>
        </w:rPr>
        <w:t xml:space="preserve">Are agent access rights reviewed on a defined cycle? The same discipline that drives your User Access Review program for human accounts must apply to AI agents — with frequency calibrated to their risk tier.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360"/>
        <w:gridCol w:w="960"/>
        <w:gridCol w:w="2240"/>
      </w:tblGrid>
      <w:tr>
        <w:tc>
          <w:tcPr>
            <w:tcW w:type="dxa" w:w="4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Control area</w:t>
            </w:r>
          </w:p>
        </w:tc>
        <w:tc>
          <w:tcPr>
            <w:tcW w:type="dxa" w:w="2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Assessment question</w:t>
            </w:r>
          </w:p>
        </w:tc>
        <w:tc>
          <w:tcPr>
            <w:tcW w:type="dxa" w:w="13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Notes / evidence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5.1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Review cadence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AI agent access rights reviewed on a defined schedule (e.g. 30/90/180 days based on risk tier), with documented attestation by the Human Sponsor?</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5.2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Scope drift detection</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Is there a process to detect and remediate agents that have accumulated access beyond their originally approved scope?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5.3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Audit trail</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all agent access review decisions logged with evidence, timestamps, and approver identity for regulatory audit purposes?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80"/>
      </w:pPr>
      <w:r>
        <w:t xml:space="preserve"/>
      </w:r>
    </w:p>
    <w:p>
      <w:pPr>
        <w:spacing w:after="60" w:before="60"/>
      </w:pPr>
      <w:r>
        <w:rPr>
          <w:rFonts w:ascii="Arial" w:cs="Arial" w:eastAsia="Arial" w:hAnsi="Arial"/>
          <w:color w:val="1A1A2E"/>
          <w:sz w:val="20"/>
          <w:szCs w:val="20"/>
        </w:rPr>
        <w:t xml:space="preserve">Key question for Australian financial services: Under APRA CPS234, your organisation must maintain the security of information assets. AI agents are information assets. Are your access review controls demonstrably applied to them?</w:t>
      </w:r>
    </w:p>
    <w:p>
      <w:pPr>
        <w:spacing w:after="0" w:before="200"/>
      </w:pPr>
      <w:r>
        <w:t xml:space="preserve"/>
      </w:r>
    </w:p>
    <w:p>
      <w:r>
        <w:br w:type="page"/>
      </w:r>
    </w:p>
    <w:p>
      <w:pPr>
        <w:shd w:fill="1F4E8C" w:val="clear"/>
        <w:spacing w:after="100" w:before="240"/>
      </w:pPr>
      <w:r>
        <w:rPr>
          <w:rFonts w:ascii="Arial" w:cs="Arial" w:eastAsia="Arial" w:hAnsi="Arial"/>
          <w:b/>
          <w:bCs/>
          <w:color w:val="FFFFFF"/>
          <w:sz w:val="24"/>
          <w:szCs w:val="24"/>
        </w:rPr>
        <w:t xml:space="preserve">  Domain 6 — Monitoring, Logging &amp; Incident Response</w:t>
      </w:r>
    </w:p>
    <w:p>
      <w:pPr>
        <w:spacing w:after="60" w:before="60"/>
      </w:pPr>
      <w:r>
        <w:rPr>
          <w:rFonts w:ascii="Arial" w:cs="Arial" w:eastAsia="Arial" w:hAnsi="Arial"/>
          <w:color w:val="1A1A2E"/>
          <w:sz w:val="20"/>
          <w:szCs w:val="20"/>
        </w:rPr>
        <w:t xml:space="preserve">Can you detect and respond to a compromised or misbehaving agent? More than half of all deployed agents currently run with zero security logging. A compromised agent that goes undetected for hours can cause damage equivalent to a privileged insider threat.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360"/>
        <w:gridCol w:w="960"/>
        <w:gridCol w:w="2240"/>
      </w:tblGrid>
      <w:tr>
        <w:tc>
          <w:tcPr>
            <w:tcW w:type="dxa" w:w="4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Control area</w:t>
            </w:r>
          </w:p>
        </w:tc>
        <w:tc>
          <w:tcPr>
            <w:tcW w:type="dxa" w:w="2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Assessment question</w:t>
            </w:r>
          </w:p>
        </w:tc>
        <w:tc>
          <w:tcPr>
            <w:tcW w:type="dxa" w:w="13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Notes / evidence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6.1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Activity logging</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all agent authentication events, tool invocations, and data access actions logged to a centralised SIEM or security monitoring platform?</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6.2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Behavioural alerting</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automated alerts configured for anomalous agent behaviour: access outside approved hours, out-of-scope system access, unusual API call volume, or unexpected geographic origin?</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6.3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Agent-specific IR</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Does the organisation’s incident response playbook include agent-specific procedures: how to revoke agent credentials, isolate an agent from its tool ecosystem, and preserve forensic evidence?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80"/>
      </w:pPr>
      <w:r>
        <w:t xml:space="preserve"/>
      </w:r>
    </w:p>
    <w:p>
      <w:pPr>
        <w:spacing w:after="60" w:before="60"/>
      </w:pPr>
      <w:r>
        <w:rPr>
          <w:rFonts w:ascii="Arial" w:cs="Arial" w:eastAsia="Arial" w:hAnsi="Arial"/>
          <w:color w:val="1A1A2E"/>
          <w:sz w:val="20"/>
          <w:szCs w:val="20"/>
        </w:rPr>
        <w:t xml:space="preserve">Industry benchmark: More than 50% of agents operate with no security oversight or logging. 88% of organisations reported confirmed or suspected AI agent security incidents in the last year (Gravitee / Pragatix 2026).</w:t>
      </w:r>
    </w:p>
    <w:p>
      <w:pPr>
        <w:spacing w:after="0" w:before="200"/>
      </w:pPr>
      <w:r>
        <w:t xml:space="preserve"/>
      </w:r>
    </w:p>
    <w:p>
      <w:pPr>
        <w:shd w:fill="1F4E8C" w:val="clear"/>
        <w:spacing w:after="100" w:before="240"/>
      </w:pPr>
      <w:r>
        <w:rPr>
          <w:rFonts w:ascii="Arial" w:cs="Arial" w:eastAsia="Arial" w:hAnsi="Arial"/>
          <w:b/>
          <w:bCs/>
          <w:color w:val="FFFFFF"/>
          <w:sz w:val="24"/>
          <w:szCs w:val="24"/>
        </w:rPr>
        <w:t xml:space="preserve">  Domain 7 — Offboarding &amp; Lifecycle Termination</w:t>
      </w:r>
    </w:p>
    <w:p>
      <w:pPr>
        <w:spacing w:after="60" w:before="60"/>
      </w:pPr>
      <w:r>
        <w:rPr>
          <w:rFonts w:ascii="Arial" w:cs="Arial" w:eastAsia="Arial" w:hAnsi="Arial"/>
          <w:color w:val="1A1A2E"/>
          <w:sz w:val="20"/>
          <w:szCs w:val="20"/>
        </w:rPr>
        <w:t xml:space="preserve">Are agents decommissioned when their purpose ends? Orphaned agent identities are the AI equivalent of ghost accounts — they retain access long after the business process they served has changed, creating silent attack surface.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900"/>
        <w:gridCol w:w="1360"/>
        <w:gridCol w:w="960"/>
        <w:gridCol w:w="2240"/>
      </w:tblGrid>
      <w:tr>
        <w:tc>
          <w:tcPr>
            <w:tcW w:type="dxa" w:w="4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Control area</w:t>
            </w:r>
          </w:p>
        </w:tc>
        <w:tc>
          <w:tcPr>
            <w:tcW w:type="dxa" w:w="29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Assessment question</w:t>
            </w:r>
          </w:p>
        </w:tc>
        <w:tc>
          <w:tcPr>
            <w:tcW w:type="dxa" w:w="13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Status</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Notes / evidence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Offboarding triggers</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formal offboarding triggers defined and enforced: project end, sponsor departure, failed access review, security incident, vendor decommission?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7.2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Offboarding SLAs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Are SLAs defined for each offboarding action: identity disable, credential revocation, RBAC removal, IGA system update, and audit log archival?</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7.3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Orphan detection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Is there an automated or periodic process to identify and remediate agent identities with no active sponsor, no recent attestation, or no documented business purpose?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Yes    ☐ Partial    ☐ No</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200"/>
      </w:pPr>
      <w:r>
        <w:t xml:space="preserve"/>
      </w:r>
    </w:p>
    <w:p>
      <w:pPr>
        <w:pStyle w:val="Heading1"/>
        <w:spacing w:after="120" w:before="280"/>
      </w:pPr>
      <w:r>
        <w:t xml:space="preserve">9.  Summary Scorecard</w:t>
      </w:r>
    </w:p>
    <w:p>
      <w:pPr>
        <w:spacing w:after="60" w:before="60"/>
      </w:pPr>
      <w:r>
        <w:rPr>
          <w:rFonts w:ascii="Arial" w:cs="Arial" w:eastAsia="Arial" w:hAnsi="Arial"/>
          <w:color w:val="1A1A2E"/>
          <w:sz w:val="20"/>
          <w:szCs w:val="20"/>
        </w:rPr>
        <w:t xml:space="preserve">Record domain scores below after completing the assessment. Calculate a maturity rating using the table beneath.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500"/>
        <w:gridCol w:w="1200"/>
        <w:gridCol w:w="1200"/>
        <w:gridCol w:w="1200"/>
        <w:gridCol w:w="2940"/>
      </w:tblGrid>
      <w:tr>
        <w:tc>
          <w:tcPr>
            <w:tcW w:type="dxa" w:w="32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t>
            </w:r>
          </w:p>
        </w:tc>
        <w:tc>
          <w:tcPr>
            <w:tcW w:type="dxa" w:w="2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Domain</w:t>
            </w:r>
          </w:p>
        </w:tc>
        <w:tc>
          <w:tcPr>
            <w:tcW w:type="dxa" w:w="12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Max score</w:t>
            </w:r>
          </w:p>
        </w:tc>
        <w:tc>
          <w:tcPr>
            <w:tcW w:type="dxa" w:w="12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Yes count</w:t>
            </w:r>
          </w:p>
        </w:tc>
        <w:tc>
          <w:tcPr>
            <w:tcW w:type="dxa" w:w="12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Partial count</w:t>
            </w:r>
          </w:p>
        </w:tc>
        <w:tc>
          <w:tcPr>
            <w:tcW w:type="dxa" w:w="294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Domain score (/max)</w:t>
            </w:r>
          </w:p>
        </w:tc>
      </w:tr>
      <w:tr>
        <w:tc>
          <w:tcPr>
            <w:tcW w:type="dxa" w:w="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Agent identity inventory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Agent identity &amp; authentication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Human sponsorship &amp; accountability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Least privilege &amp; access controls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Access reviews &amp; attestation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3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Monitoring, logging &amp; IR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Offboarding &amp; lifecycle termination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2820"/>
            <w:gridSpan w:val="2"/>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TOTAL</w:t>
            </w:r>
          </w:p>
        </w:tc>
        <w:tc>
          <w:tcPr>
            <w:tcW w:type="dxa" w:w="12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120"/>
      </w:pPr>
      <w:r>
        <w:t xml:space="preserve"/>
      </w:r>
    </w:p>
    <w:p>
      <w:pPr>
        <w:shd w:fill="D6E4F7" w:val="clear"/>
        <w:spacing w:after="80" w:before="160"/>
      </w:pPr>
      <w:r>
        <w:rPr>
          <w:rFonts w:ascii="Arial" w:cs="Arial" w:eastAsia="Arial" w:hAnsi="Arial"/>
          <w:b/>
          <w:bCs/>
          <w:color w:val="1F4E8C"/>
          <w:sz w:val="21"/>
          <w:szCs w:val="21"/>
        </w:rPr>
        <w:t xml:space="preserve">  Maturity rating guide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Score</w:t>
            </w:r>
          </w:p>
        </w:tc>
        <w:tc>
          <w:tcPr>
            <w:tcW w:type="dxa" w:w="20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Maturity level</w:t>
            </w:r>
          </w:p>
        </w:tc>
        <w:tc>
          <w:tcPr>
            <w:tcW w:type="dxa" w:w="65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Description &amp; recommended action</w:t>
            </w:r>
          </w:p>
        </w:tc>
      </w:tr>
      <w:tr>
        <w:tc>
          <w:tcPr>
            <w:tcW w:type="dxa" w:w="8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29–34</w:t>
            </w:r>
          </w:p>
        </w:tc>
        <w:tc>
          <w:tcPr>
            <w:tcW w:type="dxa" w:w="20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Managed</w:t>
            </w:r>
          </w:p>
        </w:tc>
        <w:tc>
          <w:tcPr>
            <w:tcW w:type="dxa" w:w="656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Foundational agent identity governance controls are in place. Focus on continuous improvement, automation, and formal policy embedding.</w:t>
            </w:r>
          </w:p>
        </w:tc>
      </w:tr>
      <w:tr>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21–28</w:t>
            </w:r>
          </w:p>
        </w:tc>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Developing</w:t>
            </w:r>
          </w:p>
        </w:tc>
        <w:tc>
          <w:tcPr>
            <w:tcW w:type="dxa" w:w="6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Partial controls exist but are inconsistent or informal. Prioritise formalising sponsorship, access reviews, and offboarding SLAs.</w:t>
            </w:r>
          </w:p>
        </w:tc>
      </w:tr>
      <w:tr>
        <w:tc>
          <w:tcPr>
            <w:tcW w:type="dxa" w:w="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11–20</w:t>
            </w:r>
          </w:p>
        </w:tc>
        <w:tc>
          <w:tcPr>
            <w:tcW w:type="dxa" w:w="20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Initial</w:t>
            </w:r>
          </w:p>
        </w:tc>
        <w:tc>
          <w:tcPr>
            <w:tcW w:type="dxa" w:w="65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Significant gaps across multiple domains. Immediate action required on identity inventory, authentication, and incident response.</w:t>
            </w:r>
          </w:p>
        </w:tc>
      </w:tr>
      <w:tr>
        <w:tc>
          <w:tcPr>
            <w:tcW w:type="dxa" w:w="8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bCs/>
                <w:color w:val="1F4E8C"/>
                <w:sz w:val="19"/>
                <w:szCs w:val="19"/>
              </w:rPr>
              <w:t xml:space="preserve">0–10</w:t>
            </w:r>
          </w:p>
        </w:tc>
        <w:tc>
          <w:tcPr>
            <w:tcW w:type="dxa" w:w="20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Absent</w:t>
            </w:r>
          </w:p>
        </w:tc>
        <w:tc>
          <w:tcPr>
            <w:tcW w:type="dxa" w:w="656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Critical governance gaps. AI agents are operating as unmanaged, unaccountable entities. Treat as a priority risk program.</w:t>
            </w:r>
          </w:p>
        </w:tc>
      </w:tr>
    </w:tbl>
    <w:p>
      <w:pPr>
        <w:spacing w:after="0" w:before="200"/>
      </w:pPr>
      <w:r>
        <w:t xml:space="preserve"/>
      </w:r>
    </w:p>
    <w:p>
      <w:pPr>
        <w:pStyle w:val="Heading1"/>
        <w:spacing w:after="120" w:before="280"/>
      </w:pPr>
      <w:r>
        <w:t xml:space="preserve">10.  Remediation Roadmap</w:t>
      </w:r>
    </w:p>
    <w:p>
      <w:pPr>
        <w:spacing w:after="60" w:before="60"/>
      </w:pPr>
      <w:r>
        <w:rPr>
          <w:rFonts w:ascii="Arial" w:cs="Arial" w:eastAsia="Arial" w:hAnsi="Arial"/>
          <w:color w:val="1A1A2E"/>
          <w:sz w:val="20"/>
          <w:szCs w:val="20"/>
        </w:rPr>
        <w:t xml:space="preserve">Based on the gap assessment, complete the remediation roadmap below. Prioritise High-risk gaps first. All High-risk items should have a remediation owner and target date assigned before this document is finalised.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960"/>
        <w:gridCol w:w="2220"/>
        <w:gridCol w:w="1500"/>
        <w:gridCol w:w="2000"/>
      </w:tblGrid>
      <w:tr>
        <w:tc>
          <w:tcPr>
            <w:tcW w:type="dxa" w:w="48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Gap #</w:t>
            </w:r>
          </w:p>
        </w:tc>
        <w:tc>
          <w:tcPr>
            <w:tcW w:type="dxa" w:w="22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Gap description</w:t>
            </w:r>
          </w:p>
        </w:tc>
        <w:tc>
          <w:tcPr>
            <w:tcW w:type="dxa" w:w="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Risk</w:t>
            </w:r>
          </w:p>
        </w:tc>
        <w:tc>
          <w:tcPr>
            <w:tcW w:type="dxa" w:w="222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Recommended action</w:t>
            </w:r>
          </w:p>
        </w:tc>
        <w:tc>
          <w:tcPr>
            <w:tcW w:type="dxa" w:w="15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Owner</w:t>
            </w:r>
          </w:p>
        </w:tc>
        <w:tc>
          <w:tcPr>
            <w:tcW w:type="dxa" w:w="20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Target date</w:t>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color w:val="444444"/>
                <w:sz w:val="18"/>
                <w:szCs w:val="18"/>
              </w:rPr>
              <w:t xml:space="preserve">☐ High    ☐ Medium    ☐ Low</w:t>
            </w:r>
          </w:p>
        </w:tc>
        <w:tc>
          <w:tcPr>
            <w:tcW w:type="dxa" w:w="22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200"/>
      </w:pPr>
      <w:r>
        <w:t xml:space="preserve"/>
      </w:r>
    </w:p>
    <w:p>
      <w:pPr>
        <w:pStyle w:val="Heading1"/>
        <w:spacing w:after="120" w:before="280"/>
      </w:pPr>
      <w:r>
        <w:t xml:space="preserve">11.  Regulatory Alignment Reference</w:t>
      </w:r>
    </w:p>
    <w:p>
      <w:pPr>
        <w:spacing w:after="60" w:before="60"/>
      </w:pPr>
      <w:r>
        <w:rPr>
          <w:rFonts w:ascii="Arial" w:cs="Arial" w:eastAsia="Arial" w:hAnsi="Arial"/>
          <w:color w:val="1A1A2E"/>
          <w:sz w:val="20"/>
          <w:szCs w:val="20"/>
        </w:rPr>
        <w:t xml:space="preserve">The following table maps each assessment domain to applicable regulatory and framework obligations for Australian organisations. Use this to frame findings in regulatory language when presenting to boards or regulators.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60"/>
        <w:gridCol w:w="1800"/>
      </w:tblGrid>
      <w:tr>
        <w:tc>
          <w:tcPr>
            <w:tcW w:type="dxa" w:w="20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Domain</w:t>
            </w:r>
          </w:p>
        </w:tc>
        <w:tc>
          <w:tcPr>
            <w:tcW w:type="dxa" w:w="18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APRA CPS234</w:t>
            </w:r>
          </w:p>
        </w:tc>
        <w:tc>
          <w:tcPr>
            <w:tcW w:type="dxa" w:w="18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APRA CPS230</w:t>
            </w:r>
          </w:p>
        </w:tc>
        <w:tc>
          <w:tcPr>
            <w:tcW w:type="dxa" w:w="196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NIST AI RMF</w:t>
            </w:r>
          </w:p>
        </w:tc>
        <w:tc>
          <w:tcPr>
            <w:tcW w:type="dxa" w:w="18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ISM / Ess. 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Identity inventory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Asset classification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Operational dependency mapping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Govern — GV.OC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Application control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Identity &amp; authentication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Access controls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Operational risk controls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Govern — GV.PO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Credential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Human sponsorship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Accountability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Role &amp; responsibility clarity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Govern — GV.RR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N/A (governance)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Least privilege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Access controls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Control environment</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Manage — MG.MT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Restrict admin privileges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Access reviews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Assurance testing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Control testing</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Measure — ME.RM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Access management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Monitoring &amp; IR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Incident detection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Incident management</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Manage — MG.AN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SIEM, log monitoring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Offboarding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Asset management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Change &amp; lifecycle controls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Govern — GV.PO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val="false"/>
                <w:bCs w:val="false"/>
                <w:color w:val="1A1A2E"/>
                <w:sz w:val="19"/>
                <w:szCs w:val="19"/>
              </w:rPr>
              <w:t xml:space="preserve">User account management</w:t>
            </w:r>
          </w:p>
        </w:tc>
      </w:tr>
    </w:tbl>
    <w:p>
      <w:pPr>
        <w:spacing w:after="0" w:before="200"/>
      </w:pPr>
      <w:r>
        <w:t xml:space="preserve"/>
      </w:r>
    </w:p>
    <w:p>
      <w:pPr>
        <w:pStyle w:val="Heading1"/>
        <w:spacing w:after="120" w:before="280"/>
      </w:pPr>
      <w:r>
        <w:t xml:space="preserve">12.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Role</w:t>
            </w:r>
          </w:p>
        </w:tc>
        <w:tc>
          <w:tcPr>
            <w:tcW w:type="dxa" w:w="358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Name</w:t>
            </w:r>
          </w:p>
        </w:tc>
        <w:tc>
          <w:tcPr>
            <w:tcW w:type="dxa" w:w="3580"/>
            <w:tcBorders>
              <w:top w:val="single" w:color="999999" w:sz="1"/>
              <w:left w:val="single" w:color="999999" w:sz="1"/>
              <w:bottom w:val="single" w:color="999999" w:sz="1"/>
              <w:right w:val="single" w:color="999999" w:sz="1"/>
            </w:tcBorders>
            <w:shd w:fill="1F4E8C"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Signature &amp; date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Assessor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Client sponsor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b/>
                <w:bCs/>
                <w:color w:val="1A1A2E"/>
                <w:sz w:val="19"/>
                <w:szCs w:val="19"/>
              </w:rPr>
              <w:t xml:space="preserve">CISO / IAM Director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19"/>
                <w:szCs w:val="19"/>
              </w:rPr>
              <w:t xml:space="preserve"/>
            </w:r>
          </w:p>
        </w:tc>
      </w:tr>
    </w:tbl>
    <w:p>
      <w:pPr>
        <w:spacing w:after="0" w:before="120"/>
      </w:pPr>
      <w:r>
        <w:t xml:space="preserve"/>
      </w:r>
    </w:p>
    <w:p>
      <w:pPr>
        <w:shd w:fill="F2F2F2" w:val="clear"/>
        <w:spacing w:after="0" w:before="0"/>
      </w:pPr>
      <w:r>
        <w:rPr>
          <w:rFonts w:ascii="Arial" w:cs="Arial" w:eastAsia="Arial" w:hAnsi="Arial"/>
          <w:i/>
          <w:iCs/>
          <w:color w:val="595959"/>
          <w:sz w:val="17"/>
          <w:szCs w:val="17"/>
        </w:rPr>
        <w:t xml:space="preserve">  This assessment is provided as a professional governance tool. Findings and recommendations should be reviewed in context of the organisation’s specific risk appetite, regulatory obligations, and technology environment. Prepared by Rajani Arjula, IAM Director — rajani.arjula@gmail.com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1"/>
      </w:pBdr>
      <w:tabs>
        <w:tab w:val="right" w:pos="9026"/>
      </w:tabs>
      <w:spacing w:after="0" w:before="0"/>
    </w:pPr>
    <w:r>
      <w:rPr>
        <w:rFonts w:ascii="Arial" w:cs="Arial" w:eastAsia="Arial" w:hAnsi="Arial"/>
        <w:color w:val="595959"/>
        <w:sz w:val="16"/>
        <w:szCs w:val="16"/>
      </w:rPr>
      <w:t xml:space="preserve">CONFIDENTIAL — For Client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1"/>
      </w:pBdr>
      <w:tabs>
        <w:tab w:val="right" w:pos="9026"/>
      </w:tabs>
      <w:spacing w:after="0" w:before="0"/>
    </w:pPr>
    <w:r>
      <w:rPr>
        <w:rFonts w:ascii="Arial" w:cs="Arial" w:eastAsia="Arial" w:hAnsi="Arial"/>
        <w:b/>
        <w:bCs/>
        <w:color w:val="1F4E8C"/>
        <w:sz w:val="18"/>
        <w:szCs w:val="18"/>
      </w:rPr>
      <w:t xml:space="preserve">AI Agent Governance Gap Assessment</w:t>
    </w:r>
    <w:r>
      <w:rPr>
        <w:rFonts w:ascii="Arial" w:cs="Arial" w:eastAsia="Arial" w:hAnsi="Arial"/>
        <w:color w:val="595959"/>
        <w:sz w:val="18"/>
        <w:szCs w:val="18"/>
      </w:rPr>
      <w:t xml:space="preserve">	[Organisation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1F4E8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280"/>
      <w:outlineLvl w:val="0"/>
    </w:pPr>
    <w:rPr>
      <w:rFonts w:ascii="Arial" w:cs="Arial" w:eastAsia="Arial" w:hAnsi="Arial"/>
      <w:b/>
      <w:bCs/>
      <w:color w:val="1F4E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2026-04-10T10:31:06.558Z</dcterms:created>
  <dcterms:modified xsi:type="dcterms:W3CDTF">2026-04-10T10:31:06.559Z</dcterms:modified>
</cp:coreProperties>
</file>

<file path=docProps/custom.xml><?xml version="1.0" encoding="utf-8"?>
<Properties xmlns="http://schemas.openxmlformats.org/officeDocument/2006/custom-properties" xmlns:vt="http://schemas.openxmlformats.org/officeDocument/2006/docPropsVTypes"/>
</file>