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ms-office.chartstyle+xml" PartName="/word/charts/style1.xml"/>
  <Override ContentType="application/vnd.ms-office.chartstyle+xml" PartName="/word/charts/style6.xml"/>
  <Override ContentType="application/vnd.ms-office.chartstyle+xml" PartName="/word/charts/style5.xml"/>
  <Override ContentType="application/vnd.ms-office.chartstyle+xml" PartName="/word/charts/style7.xml"/>
  <Override ContentType="application/vnd.ms-office.chartstyle+xml" PartName="/word/charts/style8.xml"/>
  <Override ContentType="application/vnd.ms-office.chartstyle+xml" PartName="/word/charts/style3.xml"/>
  <Override ContentType="application/vnd.ms-office.chartstyle+xml" PartName="/word/charts/style4.xml"/>
  <Override ContentType="application/vnd.ms-office.chartstyle+xml" PartName="/word/charts/style2.xml"/>
  <Override ContentType="application/vnd.openxmlformats-package.core-properties+xml" PartName="/docProps/core.xml"/>
  <Override ContentType="application/vnd.ms-office.chartcolorstyle+xml" PartName="/word/charts/colors6.xml"/>
  <Override ContentType="application/vnd.ms-office.chartcolorstyle+xml" PartName="/word/charts/colors5.xml"/>
  <Override ContentType="application/vnd.ms-office.chartcolorstyle+xml" PartName="/word/charts/colors7.xml"/>
  <Override ContentType="application/vnd.ms-office.chartcolorstyle+xml" PartName="/word/charts/colors8.xml"/>
  <Override ContentType="application/vnd.ms-office.chartcolorstyle+xml" PartName="/word/charts/colors3.xml"/>
  <Override ContentType="application/vnd.ms-office.chartcolorstyle+xml" PartName="/word/charts/colors4.xml"/>
  <Override ContentType="application/vnd.ms-office.chartcolorstyle+xml" PartName="/word/charts/colors2.xml"/>
  <Override ContentType="application/vnd.ms-office.chartcolorstyle+xml" PartName="/word/charts/colors1.xml"/>
  <Override ContentType="application/vnd.openxmlformats-officedocument.wordprocessingml.document.main+xml" PartName="/word/document.xml"/>
  <Override ContentType="application/vnd.openxmlformats-officedocument.drawingml.chart+xml" PartName="/word/charts/chart6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7.xml"/>
  <Override ContentType="application/vnd.openxmlformats-officedocument.drawingml.chart+xml" PartName="/word/charts/chart4.xml"/>
  <Override ContentType="application/vnd.openxmlformats-officedocument.drawingml.chart+xml" PartName="/word/charts/chart5.xml"/>
  <Override ContentType="application/vnd.openxmlformats-officedocument.drawingml.chart+xml" PartName="/word/charts/chart3.xml"/>
  <Override ContentType="application/vnd.openxmlformats-officedocument.drawingml.chart+xml" PartName="/word/charts/chart8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FOMC Statements EDA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Words used in FOMC per Year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35047" cy="3914997"/>
            <wp:effectExtent b="0" l="0" r="0" t="0"/>
            <wp:docPr id="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047" cy="3914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1.Yearwise word frequency [Rcode1.r]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6391275" cy="3272481"/>
            <wp:effectExtent b="0" l="0" r="0" t="0"/>
            <wp:docPr id="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272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2. Word Frequency Parito chart  [Excel '2.EDA’]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Highest statement length in 2014 and since it is 9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month in 2023 the count is 12127.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Frequency of the word “inflation” in FOMC statements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2020, March, three times statement was released and 2020 Sep, inflation frequeny is high, following that till 2021, Jan, frequency count was same.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4572000" cy="5210175"/>
            <wp:docPr id="33" name=""/>
            <a:graphic>
              <a:graphicData uri="http://schemas.openxmlformats.org/drawingml/2006/chart">
                <c:chart r:id="rId9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3. Year-wise frequency of word ‘Inflation’  [Excel '2.EDA’]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28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28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-2539</wp:posOffset>
            </wp:positionH>
            <wp:positionV relativeFrom="paragraph">
              <wp:posOffset>104775</wp:posOffset>
            </wp:positionV>
            <wp:extent cx="2800350" cy="5838825"/>
            <wp:wrapSquare wrapText="bothSides" distB="0" distT="0" distL="114300" distR="114300"/>
            <wp:docPr id="34" name=""/>
            <a:graphic>
              <a:graphicData uri="http://schemas.openxmlformats.org/drawingml/2006/chart">
                <c:chart r:id="rId10"/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3064510</wp:posOffset>
            </wp:positionH>
            <wp:positionV relativeFrom="paragraph">
              <wp:posOffset>104140</wp:posOffset>
            </wp:positionV>
            <wp:extent cx="2733675" cy="5838825"/>
            <wp:wrapSquare wrapText="bothSides" distB="0" distT="0" distL="114300" distR="114300"/>
            <wp:docPr id="35" name=""/>
            <a:graphic>
              <a:graphicData uri="http://schemas.openxmlformats.org/drawingml/2006/chart">
                <c:chart r:id="rId11"/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4. Frequency of the word ‘Inflation’ [Excel:'2.Stme-wise inflation']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a  2006 to 2009</w:t>
        <w:tab/>
        <w:tab/>
        <w:tab/>
        <w:tab/>
        <w:tab/>
        <w:t xml:space="preserve">b. 2010 to 2013</w:t>
      </w:r>
    </w:p>
    <w:p w:rsidR="00000000" w:rsidDel="00000000" w:rsidP="00000000" w:rsidRDefault="00000000" w:rsidRPr="00000000" w14:paraId="00000018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19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3302635</wp:posOffset>
            </wp:positionH>
            <wp:positionV relativeFrom="paragraph">
              <wp:posOffset>28575</wp:posOffset>
            </wp:positionV>
            <wp:extent cx="2762250" cy="5629275"/>
            <wp:wrapSquare wrapText="bothSides" distB="0" distT="0" distL="114300" distR="114300"/>
            <wp:docPr id="31" name=""/>
            <a:graphic>
              <a:graphicData uri="http://schemas.openxmlformats.org/drawingml/2006/chart">
                <c:chart r:id="rId12"/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426085</wp:posOffset>
            </wp:positionH>
            <wp:positionV relativeFrom="paragraph">
              <wp:posOffset>28575</wp:posOffset>
            </wp:positionV>
            <wp:extent cx="2733675" cy="5629275"/>
            <wp:wrapSquare wrapText="bothSides" distB="0" distT="0" distL="114300" distR="114300"/>
            <wp:docPr id="32" name=""/>
            <a:graphic>
              <a:graphicData uri="http://schemas.openxmlformats.org/drawingml/2006/chart">
                <c:chart r:id="rId13"/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005"/>
        </w:tabs>
        <w:ind w:left="-85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4. Frequency of the word ‘Inflation’  [Excel:'2.Stme-wise inflation']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c.  2014 to 2016</w:t>
        <w:tab/>
        <w:tab/>
        <w:tab/>
        <w:tab/>
        <w:tab/>
        <w:t xml:space="preserve">b. 2017 to 2019</w:t>
      </w:r>
    </w:p>
    <w:p w:rsidR="00000000" w:rsidDel="00000000" w:rsidP="00000000" w:rsidRDefault="00000000" w:rsidRPr="00000000" w14:paraId="00000036">
      <w:pPr>
        <w:tabs>
          <w:tab w:val="left" w:leader="none" w:pos="1005"/>
        </w:tabs>
        <w:ind w:left="-85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3D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1914525</wp:posOffset>
            </wp:positionH>
            <wp:positionV relativeFrom="paragraph">
              <wp:posOffset>276225</wp:posOffset>
            </wp:positionV>
            <wp:extent cx="3009900" cy="5672455"/>
            <wp:wrapSquare wrapText="bothSides" distB="0" distT="0" distL="114300" distR="114300"/>
            <wp:docPr id="38" name=""/>
            <a:graphic>
              <a:graphicData uri="http://schemas.openxmlformats.org/drawingml/2006/chart">
                <c:chart r:id="rId14"/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1005"/>
        </w:tabs>
        <w:ind w:left="-85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4. Frequency of the word ‘Inflation’  [Excel:'2.Stme-wise inflation']</w:t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e. 2020 to 2023</w:t>
      </w:r>
    </w:p>
    <w:p w:rsidR="00000000" w:rsidDel="00000000" w:rsidP="00000000" w:rsidRDefault="00000000" w:rsidRPr="00000000" w14:paraId="00000059">
      <w:pPr>
        <w:tabs>
          <w:tab w:val="left" w:leader="none" w:pos="1005"/>
        </w:tabs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897063" cy="5068007"/>
            <wp:effectExtent b="0" l="0" r="0" t="0"/>
            <wp:docPr id="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7063" cy="5068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426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5.a Year-wise  Most frequent word of FOMC (2006-2014) [Rcode1]</w:t>
      </w:r>
    </w:p>
    <w:p w:rsidR="00000000" w:rsidDel="00000000" w:rsidP="00000000" w:rsidRDefault="00000000" w:rsidRPr="00000000" w14:paraId="0000005C">
      <w:pPr>
        <w:ind w:left="-14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887536" cy="5182323"/>
            <wp:effectExtent b="0" l="0" r="0" t="0"/>
            <wp:docPr id="4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7536" cy="5182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426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5.b Year-wise  Most frequent word of FOMC (2015-2023) [Rcode1]</w:t>
      </w:r>
    </w:p>
    <w:p w:rsidR="00000000" w:rsidDel="00000000" w:rsidP="00000000" w:rsidRDefault="00000000" w:rsidRPr="00000000" w14:paraId="0000005E">
      <w:pPr>
        <w:ind w:left="-14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982801" cy="4419816"/>
            <wp:effectExtent b="0" l="0" r="0" t="0"/>
            <wp:docPr id="4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2801" cy="4419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42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6.a Year-wise Most frequent words in percentage (2006 to 2014) [Rcode1 using 2.Words_Percent]</w:t>
      </w:r>
    </w:p>
    <w:p w:rsidR="00000000" w:rsidDel="00000000" w:rsidP="00000000" w:rsidRDefault="00000000" w:rsidRPr="00000000" w14:paraId="00000065">
      <w:pPr>
        <w:ind w:left="-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963747" cy="5201376"/>
            <wp:effectExtent b="0" l="0" r="0" t="0"/>
            <wp:docPr id="4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3747" cy="520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2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Figure 6.b Year-wise Most frequent words in percentage (2015 to 2023) [Rcode1 using 2.Words_Percent]</w:t>
      </w:r>
    </w:p>
    <w:p w:rsidR="00000000" w:rsidDel="00000000" w:rsidP="00000000" w:rsidRDefault="00000000" w:rsidRPr="00000000" w14:paraId="00000069">
      <w:pPr>
        <w:tabs>
          <w:tab w:val="left" w:leader="none" w:pos="2085"/>
        </w:tabs>
        <w:ind w:left="14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2085"/>
        </w:tabs>
        <w:ind w:left="14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2085"/>
        </w:tabs>
        <w:ind w:left="14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2085"/>
        </w:tabs>
        <w:ind w:left="14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2085"/>
        </w:tabs>
        <w:ind w:left="14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2085"/>
        </w:tabs>
        <w:ind w:left="14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2085"/>
        </w:tabs>
        <w:ind w:left="14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2085"/>
        </w:tabs>
        <w:ind w:left="14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2085"/>
        </w:tabs>
        <w:ind w:left="14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2085"/>
        </w:tabs>
        <w:ind w:left="14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2085"/>
        </w:tabs>
        <w:ind w:left="14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Classification Data :EDA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191250" cy="3817295"/>
            <wp:effectExtent b="0" l="0" r="0" t="0"/>
            <wp:docPr id="4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817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2085"/>
        </w:tabs>
        <w:ind w:left="14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2085"/>
        </w:tabs>
        <w:ind w:left="142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7. Classification based on Features of FOMC  [Rcode1]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2085"/>
        </w:tabs>
        <w:ind w:left="14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2085"/>
        </w:tabs>
        <w:ind w:left="14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2085"/>
        </w:tabs>
        <w:ind w:left="14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2085"/>
        </w:tabs>
        <w:ind w:left="142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2085"/>
        </w:tabs>
        <w:ind w:left="142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896798" cy="5087060"/>
            <wp:effectExtent b="0" l="0" r="0" t="0"/>
            <wp:docPr id="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087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2085"/>
        </w:tabs>
        <w:ind w:left="142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8. Correlation of FOMC feature [Rcode1]</w:t>
      </w:r>
    </w:p>
    <w:p w:rsidR="00000000" w:rsidDel="00000000" w:rsidP="00000000" w:rsidRDefault="00000000" w:rsidRPr="00000000" w14:paraId="0000007F">
      <w:pPr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85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811061" cy="5220429"/>
            <wp:effectExtent b="0" l="0" r="0" t="0"/>
            <wp:docPr id="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220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9. Distribution of Sentiment Score [using ‘1.FOMC_tone.csv’ in Rcode1]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Line plot to visualize the evolvement of sentiment scores. This is especially helpful when studying a time series of sentiment scores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195695" cy="4230370"/>
            <wp:effectExtent b="0" l="0" r="0" t="0"/>
            <wp:docPr id="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4230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10. Sentiment weight- Trend [using ‘1.FOMC_tone.csv’ in Rcode1]</w:t>
      </w:r>
    </w:p>
    <w:p w:rsidR="00000000" w:rsidDel="00000000" w:rsidP="00000000" w:rsidRDefault="00000000" w:rsidRPr="00000000" w14:paraId="0000009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56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195695" cy="3576320"/>
            <wp:effectExtent b="0" l="0" r="0" t="0"/>
            <wp:docPr id="4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3576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11. Sentiment each FOMC [using ‘1.FOMC_tone.csv’ in Rcode1]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53903" cy="5239481"/>
            <wp:effectExtent b="0" l="0" r="0" t="0"/>
            <wp:docPr id="5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239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12 [using ‘1.FOMC_tone.csv’ in Rcode1]</w:t>
      </w:r>
    </w:p>
    <w:p w:rsidR="00000000" w:rsidDel="00000000" w:rsidP="00000000" w:rsidRDefault="00000000" w:rsidRPr="00000000" w14:paraId="000000A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6195695" cy="3035935"/>
            <wp:docPr id="36" name=""/>
            <a:graphic>
              <a:graphicData uri="http://schemas.openxmlformats.org/drawingml/2006/chart">
                <c:chart r:id="rId25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13   in ‘1.FOMC_tone_EDA.csv’]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/>
        <w:drawing>
          <wp:inline distB="0" distT="0" distL="0" distR="0">
            <wp:extent cx="6195695" cy="2686050"/>
            <wp:docPr id="37" name=""/>
            <a:graphic>
              <a:graphicData uri="http://schemas.openxmlformats.org/drawingml/2006/chart">
                <c:chart r:id="rId26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14   in ‘1.FOMC_tone_EDA.csv’]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709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1E551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E551D"/>
  </w:style>
  <w:style w:type="paragraph" w:styleId="Footer">
    <w:name w:val="footer"/>
    <w:basedOn w:val="Normal"/>
    <w:link w:val="FooterChar"/>
    <w:uiPriority w:val="99"/>
    <w:unhideWhenUsed w:val="1"/>
    <w:rsid w:val="001E551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E551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.png"/><Relationship Id="rId21" Type="http://schemas.openxmlformats.org/officeDocument/2006/relationships/image" Target="media/image3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chart" Target="charts/chart3.xml"/><Relationship Id="rId26" Type="http://schemas.openxmlformats.org/officeDocument/2006/relationships/chart" Target="charts/chart7.xml"/><Relationship Id="rId25" Type="http://schemas.openxmlformats.org/officeDocument/2006/relationships/chart" Target="charts/chart6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Relationship Id="rId11" Type="http://schemas.openxmlformats.org/officeDocument/2006/relationships/chart" Target="charts/chart5.xml"/><Relationship Id="rId10" Type="http://schemas.openxmlformats.org/officeDocument/2006/relationships/chart" Target="charts/chart4.xml"/><Relationship Id="rId13" Type="http://schemas.openxmlformats.org/officeDocument/2006/relationships/chart" Target="charts/chart2.xml"/><Relationship Id="rId12" Type="http://schemas.openxmlformats.org/officeDocument/2006/relationships/chart" Target="charts/chart1.xml"/><Relationship Id="rId15" Type="http://schemas.openxmlformats.org/officeDocument/2006/relationships/image" Target="media/image6.png"/><Relationship Id="rId14" Type="http://schemas.openxmlformats.org/officeDocument/2006/relationships/chart" Target="charts/chart8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9" Type="http://schemas.openxmlformats.org/officeDocument/2006/relationships/image" Target="media/image11.png"/><Relationship Id="rId18" Type="http://schemas.openxmlformats.org/officeDocument/2006/relationships/image" Target="media/image12.png"/></Relationships>
</file>

<file path=word/charts/_rels/chart1.xml.rels><?xml version="1.0" encoding="UTF-8" standalone="yes"?><Relationships xmlns="http://schemas.openxmlformats.org/package/2006/relationships"><Relationship Id="rId1" Type="http://schemas.microsoft.com/office/2011/relationships/chartStyle" Target="style1.xml"/><Relationship Id="rId2" Type="http://schemas.microsoft.com/office/2011/relationships/chartColorStyle" Target="colors1.xml"/><Relationship Id="rId3" Type="http://schemas.openxmlformats.org/officeDocument/2006/relationships/oleObject" Target="file:///C:\Users\SASTRA\Desktop\Fomc\Book1.xlsx" TargetMode="External"/></Relationships>
</file>

<file path=word/charts/_rels/chart2.xml.rels><?xml version="1.0" encoding="UTF-8" standalone="yes"?><Relationships xmlns="http://schemas.openxmlformats.org/package/2006/relationships"><Relationship Id="rId1" Type="http://schemas.microsoft.com/office/2011/relationships/chartStyle" Target="style2.xml"/><Relationship Id="rId2" Type="http://schemas.microsoft.com/office/2011/relationships/chartColorStyle" Target="colors2.xml"/><Relationship Id="rId3" Type="http://schemas.openxmlformats.org/officeDocument/2006/relationships/oleObject" Target="file:///C:\Users\SASTRA\Desktop\Fomc\Book1.xlsx" TargetMode="External"/></Relationships>
</file>

<file path=word/charts/_rels/chart3.xml.rels><?xml version="1.0" encoding="UTF-8" standalone="yes"?><Relationships xmlns="http://schemas.openxmlformats.org/package/2006/relationships"><Relationship Id="rId1" Type="http://schemas.microsoft.com/office/2011/relationships/chartStyle" Target="style3.xml"/><Relationship Id="rId2" Type="http://schemas.microsoft.com/office/2011/relationships/chartColorStyle" Target="colors3.xml"/><Relationship Id="rId3" Type="http://schemas.openxmlformats.org/officeDocument/2006/relationships/oleObject" Target="file:///C:\Users\SASTRA\Desktop\Fomc\fm.xlsx" TargetMode="External"/></Relationships>
</file>

<file path=word/charts/_rels/chart4.xml.rels><?xml version="1.0" encoding="UTF-8" standalone="yes"?><Relationships xmlns="http://schemas.openxmlformats.org/package/2006/relationships"><Relationship Id="rId1" Type="http://schemas.microsoft.com/office/2011/relationships/chartStyle" Target="style4.xml"/><Relationship Id="rId2" Type="http://schemas.microsoft.com/office/2011/relationships/chartColorStyle" Target="colors4.xml"/><Relationship Id="rId3" Type="http://schemas.openxmlformats.org/officeDocument/2006/relationships/oleObject" Target="file:///C:\Users\SASTRA\Desktop\Fomc\Book1.xlsx" TargetMode="External"/></Relationships>
</file>

<file path=word/charts/_rels/chart5.xml.rels><?xml version="1.0" encoding="UTF-8" standalone="yes"?><Relationships xmlns="http://schemas.openxmlformats.org/package/2006/relationships"><Relationship Id="rId1" Type="http://schemas.microsoft.com/office/2011/relationships/chartStyle" Target="style5.xml"/><Relationship Id="rId2" Type="http://schemas.microsoft.com/office/2011/relationships/chartColorStyle" Target="colors5.xml"/><Relationship Id="rId3" Type="http://schemas.openxmlformats.org/officeDocument/2006/relationships/oleObject" Target="file:///C:\Users\SASTRA\Desktop\Fomc\Book1.xlsx" TargetMode="External"/></Relationships>
</file>

<file path=word/charts/_rels/chart6.xml.rels><?xml version="1.0" encoding="UTF-8" standalone="yes"?><Relationships xmlns="http://schemas.openxmlformats.org/package/2006/relationships"><Relationship Id="rId1" Type="http://schemas.microsoft.com/office/2011/relationships/chartStyle" Target="style6.xml"/><Relationship Id="rId2" Type="http://schemas.microsoft.com/office/2011/relationships/chartColorStyle" Target="colors6.xml"/><Relationship Id="rId3" Type="http://schemas.openxmlformats.org/officeDocument/2006/relationships/oleObject" Target="file:///C:\Users\SASTRA\Desktop\Fomc\Final\1.FOMC_tone_EDA.xlsx" TargetMode="External"/></Relationships>
</file>

<file path=word/charts/_rels/chart7.xml.rels><?xml version="1.0" encoding="UTF-8" standalone="yes"?><Relationships xmlns="http://schemas.openxmlformats.org/package/2006/relationships"><Relationship Id="rId1" Type="http://schemas.microsoft.com/office/2011/relationships/chartStyle" Target="style7.xml"/><Relationship Id="rId2" Type="http://schemas.microsoft.com/office/2011/relationships/chartColorStyle" Target="colors7.xml"/><Relationship Id="rId3" Type="http://schemas.openxmlformats.org/officeDocument/2006/relationships/oleObject" Target="file:///C:\Users\SASTRA\Desktop\Fomc\Final\1.FOMC_tone_EDA.xlsx" TargetMode="External"/></Relationships>
</file>

<file path=word/charts/_rels/chart8.xml.rels><?xml version="1.0" encoding="UTF-8" standalone="yes"?><Relationships xmlns="http://schemas.openxmlformats.org/package/2006/relationships"><Relationship Id="rId1" Type="http://schemas.microsoft.com/office/2011/relationships/chartStyle" Target="style8.xml"/><Relationship Id="rId2" Type="http://schemas.microsoft.com/office/2011/relationships/chartColorStyle" Target="colors8.xml"/><Relationship Id="rId3" Type="http://schemas.openxmlformats.org/officeDocument/2006/relationships/oleObject" Target="file:///C:\Users\SASTRA\Desktop\Fomc\Book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200"/>
              <a:t>Frequency of word "Inflation"</a:t>
            </a:r>
          </a:p>
        </c:rich>
      </c:tx>
      <c:layout>
        <c:manualLayout>
          <c:xMode val="edge"/>
          <c:yMode val="edge"/>
          <c:x val="0.13632545931758527"/>
          <c:y val="1.329492576999778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'work 2'!$D$2:$E$25</c:f>
              <c:multiLvlStrCache>
                <c:ptCount val="24"/>
                <c:lvl>
                  <c:pt idx="0">
                    <c:v>Feb</c:v>
                  </c:pt>
                  <c:pt idx="1">
                    <c:v>Mar</c:v>
                  </c:pt>
                  <c:pt idx="2">
                    <c:v>May</c:v>
                  </c:pt>
                  <c:pt idx="3">
                    <c:v>Jun</c:v>
                  </c:pt>
                  <c:pt idx="4">
                    <c:v>Jul</c:v>
                  </c:pt>
                  <c:pt idx="5">
                    <c:v>Sep</c:v>
                  </c:pt>
                  <c:pt idx="6">
                    <c:v>Nov</c:v>
                  </c:pt>
                  <c:pt idx="7">
                    <c:v>Dec</c:v>
                  </c:pt>
                  <c:pt idx="8">
                    <c:v>Jan</c:v>
                  </c:pt>
                  <c:pt idx="9">
                    <c:v>Mar</c:v>
                  </c:pt>
                  <c:pt idx="10">
                    <c:v>May</c:v>
                  </c:pt>
                  <c:pt idx="11">
                    <c:v>Jun</c:v>
                  </c:pt>
                  <c:pt idx="12">
                    <c:v>Jul</c:v>
                  </c:pt>
                  <c:pt idx="13">
                    <c:v>Sep</c:v>
                  </c:pt>
                  <c:pt idx="14">
                    <c:v>Nov</c:v>
                  </c:pt>
                  <c:pt idx="15">
                    <c:v>Dec</c:v>
                  </c:pt>
                  <c:pt idx="16">
                    <c:v>Jan</c:v>
                  </c:pt>
                  <c:pt idx="17">
                    <c:v>Mar</c:v>
                  </c:pt>
                  <c:pt idx="18">
                    <c:v>May</c:v>
                  </c:pt>
                  <c:pt idx="19">
                    <c:v>Jun</c:v>
                  </c:pt>
                  <c:pt idx="20">
                    <c:v>Jul</c:v>
                  </c:pt>
                  <c:pt idx="21">
                    <c:v>Sep</c:v>
                  </c:pt>
                  <c:pt idx="22">
                    <c:v>Oct</c:v>
                  </c:pt>
                  <c:pt idx="23">
                    <c:v>Dec</c:v>
                  </c:pt>
                </c:lvl>
                <c:lvl>
                  <c:pt idx="0">
                    <c:v>2017</c:v>
                  </c:pt>
                  <c:pt idx="8">
                    <c:v>2018</c:v>
                  </c:pt>
                  <c:pt idx="16">
                    <c:v>2019</c:v>
                  </c:pt>
                </c:lvl>
              </c:multiLvlStrCache>
            </c:multiLvlStrRef>
          </c:cat>
          <c:val>
            <c:numRef>
              <c:f>'work 2'!$F$2:$F$25</c:f>
              <c:numCache>
                <c:formatCode>General</c:formatCode>
                <c:ptCount val="24"/>
                <c:pt idx="0">
                  <c:v>11</c:v>
                </c:pt>
                <c:pt idx="1">
                  <c:v>12</c:v>
                </c:pt>
                <c:pt idx="2">
                  <c:v>12</c:v>
                </c:pt>
                <c:pt idx="3">
                  <c:v>11</c:v>
                </c:pt>
                <c:pt idx="4">
                  <c:v>11</c:v>
                </c:pt>
                <c:pt idx="5">
                  <c:v>12</c:v>
                </c:pt>
                <c:pt idx="6">
                  <c:v>14</c:v>
                </c:pt>
                <c:pt idx="7">
                  <c:v>13</c:v>
                </c:pt>
                <c:pt idx="8">
                  <c:v>12</c:v>
                </c:pt>
                <c:pt idx="9">
                  <c:v>12</c:v>
                </c:pt>
                <c:pt idx="10">
                  <c:v>11</c:v>
                </c:pt>
                <c:pt idx="11">
                  <c:v>8</c:v>
                </c:pt>
                <c:pt idx="12">
                  <c:v>8</c:v>
                </c:pt>
                <c:pt idx="13">
                  <c:v>8</c:v>
                </c:pt>
                <c:pt idx="14">
                  <c:v>8</c:v>
                </c:pt>
                <c:pt idx="15">
                  <c:v>8</c:v>
                </c:pt>
                <c:pt idx="16">
                  <c:v>9</c:v>
                </c:pt>
                <c:pt idx="17">
                  <c:v>9</c:v>
                </c:pt>
                <c:pt idx="18">
                  <c:v>18</c:v>
                </c:pt>
                <c:pt idx="19">
                  <c:v>10</c:v>
                </c:pt>
                <c:pt idx="20">
                  <c:v>10</c:v>
                </c:pt>
                <c:pt idx="21">
                  <c:v>10</c:v>
                </c:pt>
                <c:pt idx="22">
                  <c:v>9</c:v>
                </c:pt>
                <c:pt idx="23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AD8-4057-8A0A-87D611E352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230674223"/>
        <c:axId val="230665487"/>
      </c:barChart>
      <c:catAx>
        <c:axId val="23067422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30665487"/>
        <c:crosses val="autoZero"/>
        <c:auto val="1"/>
        <c:lblAlgn val="ctr"/>
        <c:lblOffset val="100"/>
        <c:noMultiLvlLbl val="0"/>
      </c:catAx>
      <c:valAx>
        <c:axId val="23066548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306742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100"/>
              <a:t>Frequency of Word "Inflation"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work!$E$69:$F$92</c:f>
              <c:multiLvlStrCache>
                <c:ptCount val="24"/>
                <c:lvl>
                  <c:pt idx="0">
                    <c:v>Jan</c:v>
                  </c:pt>
                  <c:pt idx="1">
                    <c:v>Mar</c:v>
                  </c:pt>
                  <c:pt idx="2">
                    <c:v>Apr</c:v>
                  </c:pt>
                  <c:pt idx="3">
                    <c:v>Jun</c:v>
                  </c:pt>
                  <c:pt idx="4">
                    <c:v>Jul</c:v>
                  </c:pt>
                  <c:pt idx="5">
                    <c:v>Sep</c:v>
                  </c:pt>
                  <c:pt idx="6">
                    <c:v>Oct</c:v>
                  </c:pt>
                  <c:pt idx="7">
                    <c:v>Dec</c:v>
                  </c:pt>
                  <c:pt idx="8">
                    <c:v>Jan</c:v>
                  </c:pt>
                  <c:pt idx="9">
                    <c:v>Mar</c:v>
                  </c:pt>
                  <c:pt idx="10">
                    <c:v>Apr</c:v>
                  </c:pt>
                  <c:pt idx="11">
                    <c:v>Jun</c:v>
                  </c:pt>
                  <c:pt idx="12">
                    <c:v>Jul</c:v>
                  </c:pt>
                  <c:pt idx="13">
                    <c:v>Sep</c:v>
                  </c:pt>
                  <c:pt idx="14">
                    <c:v>Oct</c:v>
                  </c:pt>
                  <c:pt idx="15">
                    <c:v>Dec</c:v>
                  </c:pt>
                  <c:pt idx="16">
                    <c:v>Jan</c:v>
                  </c:pt>
                  <c:pt idx="17">
                    <c:v>Mar</c:v>
                  </c:pt>
                  <c:pt idx="18">
                    <c:v>Apr</c:v>
                  </c:pt>
                  <c:pt idx="19">
                    <c:v>Jun</c:v>
                  </c:pt>
                  <c:pt idx="20">
                    <c:v>Jul</c:v>
                  </c:pt>
                  <c:pt idx="21">
                    <c:v>Sep</c:v>
                  </c:pt>
                  <c:pt idx="22">
                    <c:v>Nov</c:v>
                  </c:pt>
                  <c:pt idx="23">
                    <c:v>Dec</c:v>
                  </c:pt>
                </c:lvl>
                <c:lvl>
                  <c:pt idx="0">
                    <c:v>2014</c:v>
                  </c:pt>
                  <c:pt idx="8">
                    <c:v>2015</c:v>
                  </c:pt>
                  <c:pt idx="16">
                    <c:v>2016</c:v>
                  </c:pt>
                </c:lvl>
              </c:multiLvlStrCache>
            </c:multiLvlStrRef>
          </c:cat>
          <c:val>
            <c:numRef>
              <c:f>work!$G$69:$G$92</c:f>
              <c:numCache>
                <c:formatCode>General</c:formatCode>
                <c:ptCount val="24"/>
                <c:pt idx="0">
                  <c:v>14</c:v>
                </c:pt>
                <c:pt idx="1">
                  <c:v>16</c:v>
                </c:pt>
                <c:pt idx="2">
                  <c:v>15</c:v>
                </c:pt>
                <c:pt idx="3">
                  <c:v>15</c:v>
                </c:pt>
                <c:pt idx="4">
                  <c:v>14</c:v>
                </c:pt>
                <c:pt idx="5">
                  <c:v>14</c:v>
                </c:pt>
                <c:pt idx="6">
                  <c:v>17</c:v>
                </c:pt>
                <c:pt idx="7">
                  <c:v>16</c:v>
                </c:pt>
                <c:pt idx="8">
                  <c:v>12</c:v>
                </c:pt>
                <c:pt idx="9">
                  <c:v>12</c:v>
                </c:pt>
                <c:pt idx="10">
                  <c:v>12</c:v>
                </c:pt>
                <c:pt idx="11">
                  <c:v>12</c:v>
                </c:pt>
                <c:pt idx="12">
                  <c:v>12</c:v>
                </c:pt>
                <c:pt idx="13">
                  <c:v>13</c:v>
                </c:pt>
                <c:pt idx="14">
                  <c:v>12</c:v>
                </c:pt>
                <c:pt idx="15">
                  <c:v>11</c:v>
                </c:pt>
                <c:pt idx="16">
                  <c:v>10</c:v>
                </c:pt>
                <c:pt idx="17">
                  <c:v>10</c:v>
                </c:pt>
                <c:pt idx="18">
                  <c:v>10</c:v>
                </c:pt>
                <c:pt idx="19">
                  <c:v>10</c:v>
                </c:pt>
                <c:pt idx="20">
                  <c:v>10</c:v>
                </c:pt>
                <c:pt idx="21">
                  <c:v>10</c:v>
                </c:pt>
                <c:pt idx="22">
                  <c:v>10</c:v>
                </c:pt>
                <c:pt idx="23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B4D-486E-8A15-840551B160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107567119"/>
        <c:axId val="1107568367"/>
      </c:barChart>
      <c:catAx>
        <c:axId val="110756711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7568367"/>
        <c:crosses val="autoZero"/>
        <c:auto val="1"/>
        <c:lblAlgn val="ctr"/>
        <c:lblOffset val="100"/>
        <c:noMultiLvlLbl val="0"/>
      </c:catAx>
      <c:valAx>
        <c:axId val="11075683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756711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Frequency of word "Inflation"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'fm (3)'!$C$1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'fm (3)'!$B$2:$B$18</c:f>
              <c:numCache>
                <c:formatCode>General</c:formatCode>
                <c:ptCount val="17"/>
                <c:pt idx="0">
                  <c:v>2006</c:v>
                </c:pt>
                <c:pt idx="1">
                  <c:v>2007</c:v>
                </c:pt>
                <c:pt idx="2">
                  <c:v>2008</c:v>
                </c:pt>
                <c:pt idx="3">
                  <c:v>2010</c:v>
                </c:pt>
                <c:pt idx="4">
                  <c:v>2011</c:v>
                </c:pt>
                <c:pt idx="5">
                  <c:v>2012</c:v>
                </c:pt>
                <c:pt idx="6">
                  <c:v>2013</c:v>
                </c:pt>
                <c:pt idx="7">
                  <c:v>2014</c:v>
                </c:pt>
                <c:pt idx="8">
                  <c:v>2015</c:v>
                </c:pt>
                <c:pt idx="9">
                  <c:v>2016</c:v>
                </c:pt>
                <c:pt idx="10">
                  <c:v>2017</c:v>
                </c:pt>
                <c:pt idx="11">
                  <c:v>2018</c:v>
                </c:pt>
                <c:pt idx="12">
                  <c:v>2019</c:v>
                </c:pt>
                <c:pt idx="13">
                  <c:v>2020</c:v>
                </c:pt>
                <c:pt idx="14">
                  <c:v>2021</c:v>
                </c:pt>
                <c:pt idx="15">
                  <c:v>2022</c:v>
                </c:pt>
                <c:pt idx="16">
                  <c:v>2023</c:v>
                </c:pt>
              </c:numCache>
            </c:numRef>
          </c:cat>
          <c:val>
            <c:numRef>
              <c:f>'fm (3)'!$C$2:$C$18</c:f>
              <c:numCache>
                <c:formatCode>General</c:formatCode>
                <c:ptCount val="17"/>
                <c:pt idx="0">
                  <c:v>40</c:v>
                </c:pt>
                <c:pt idx="1">
                  <c:v>34</c:v>
                </c:pt>
                <c:pt idx="2">
                  <c:v>30</c:v>
                </c:pt>
                <c:pt idx="3">
                  <c:v>44</c:v>
                </c:pt>
                <c:pt idx="4">
                  <c:v>65</c:v>
                </c:pt>
                <c:pt idx="5">
                  <c:v>44</c:v>
                </c:pt>
                <c:pt idx="6">
                  <c:v>95</c:v>
                </c:pt>
                <c:pt idx="7">
                  <c:v>121</c:v>
                </c:pt>
                <c:pt idx="8">
                  <c:v>96</c:v>
                </c:pt>
                <c:pt idx="9">
                  <c:v>81</c:v>
                </c:pt>
                <c:pt idx="10">
                  <c:v>96</c:v>
                </c:pt>
                <c:pt idx="11">
                  <c:v>75</c:v>
                </c:pt>
                <c:pt idx="12">
                  <c:v>84</c:v>
                </c:pt>
                <c:pt idx="13">
                  <c:v>67</c:v>
                </c:pt>
                <c:pt idx="14">
                  <c:v>73</c:v>
                </c:pt>
                <c:pt idx="15">
                  <c:v>58</c:v>
                </c:pt>
                <c:pt idx="16">
                  <c:v>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77-462C-A26D-818B0D3B5B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41262176"/>
        <c:axId val="141259680"/>
      </c:barChart>
      <c:catAx>
        <c:axId val="14126217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1259680"/>
        <c:crosses val="autoZero"/>
        <c:auto val="1"/>
        <c:lblAlgn val="ctr"/>
        <c:lblOffset val="100"/>
        <c:noMultiLvlLbl val="0"/>
      </c:catAx>
      <c:valAx>
        <c:axId val="1412596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12621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100"/>
              <a:t>Frequency of Word "Inflation"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801232246076748"/>
          <c:y val="8.5588091096412633E-2"/>
          <c:w val="0.6396940124466165"/>
          <c:h val="0.86300870102294158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work!$G$2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work!$E$3:$F$36</c:f>
              <c:multiLvlStrCache>
                <c:ptCount val="34"/>
                <c:lvl>
                  <c:pt idx="0">
                    <c:v>Jan</c:v>
                  </c:pt>
                  <c:pt idx="1">
                    <c:v>Mar</c:v>
                  </c:pt>
                  <c:pt idx="2">
                    <c:v>May</c:v>
                  </c:pt>
                  <c:pt idx="3">
                    <c:v>Jun</c:v>
                  </c:pt>
                  <c:pt idx="4">
                    <c:v>Aug</c:v>
                  </c:pt>
                  <c:pt idx="5">
                    <c:v>Sep</c:v>
                  </c:pt>
                  <c:pt idx="6">
                    <c:v>Oct</c:v>
                  </c:pt>
                  <c:pt idx="7">
                    <c:v>Dec</c:v>
                  </c:pt>
                  <c:pt idx="8">
                    <c:v>Jan</c:v>
                  </c:pt>
                  <c:pt idx="9">
                    <c:v>Mar</c:v>
                  </c:pt>
                  <c:pt idx="10">
                    <c:v>May</c:v>
                  </c:pt>
                  <c:pt idx="11">
                    <c:v>Jun</c:v>
                  </c:pt>
                  <c:pt idx="12">
                    <c:v>Aug</c:v>
                  </c:pt>
                  <c:pt idx="13">
                    <c:v>Sep</c:v>
                  </c:pt>
                  <c:pt idx="14">
                    <c:v>Oct</c:v>
                  </c:pt>
                  <c:pt idx="15">
                    <c:v>Dec</c:v>
                  </c:pt>
                  <c:pt idx="16">
                    <c:v>Jan</c:v>
                  </c:pt>
                  <c:pt idx="17">
                    <c:v>Jan</c:v>
                  </c:pt>
                  <c:pt idx="18">
                    <c:v>Mar</c:v>
                  </c:pt>
                  <c:pt idx="19">
                    <c:v>Apr</c:v>
                  </c:pt>
                  <c:pt idx="20">
                    <c:v>Jun</c:v>
                  </c:pt>
                  <c:pt idx="21">
                    <c:v>Aug</c:v>
                  </c:pt>
                  <c:pt idx="22">
                    <c:v>Sep</c:v>
                  </c:pt>
                  <c:pt idx="23">
                    <c:v>Oct</c:v>
                  </c:pt>
                  <c:pt idx="24">
                    <c:v>Oct</c:v>
                  </c:pt>
                  <c:pt idx="25">
                    <c:v>Dec</c:v>
                  </c:pt>
                  <c:pt idx="26">
                    <c:v>Jan</c:v>
                  </c:pt>
                  <c:pt idx="27">
                    <c:v>Mar</c:v>
                  </c:pt>
                  <c:pt idx="28">
                    <c:v>Apr</c:v>
                  </c:pt>
                  <c:pt idx="29">
                    <c:v>Jun</c:v>
                  </c:pt>
                  <c:pt idx="30">
                    <c:v>Aug</c:v>
                  </c:pt>
                  <c:pt idx="31">
                    <c:v>Sep</c:v>
                  </c:pt>
                  <c:pt idx="32">
                    <c:v>Nov</c:v>
                  </c:pt>
                  <c:pt idx="33">
                    <c:v>Dec</c:v>
                  </c:pt>
                </c:lvl>
                <c:lvl>
                  <c:pt idx="0">
                    <c:v>2006</c:v>
                  </c:pt>
                  <c:pt idx="8">
                    <c:v>2007</c:v>
                  </c:pt>
                  <c:pt idx="16">
                    <c:v>2008</c:v>
                  </c:pt>
                  <c:pt idx="26">
                    <c:v>2009</c:v>
                  </c:pt>
                </c:lvl>
              </c:multiLvlStrCache>
            </c:multiLvlStrRef>
          </c:cat>
          <c:val>
            <c:numRef>
              <c:f>work!$G$3:$G$36</c:f>
              <c:numCache>
                <c:formatCode>General</c:formatCode>
                <c:ptCount val="34"/>
                <c:pt idx="0">
                  <c:v>3</c:v>
                </c:pt>
                <c:pt idx="1">
                  <c:v>3</c:v>
                </c:pt>
                <c:pt idx="2">
                  <c:v>4</c:v>
                </c:pt>
                <c:pt idx="3">
                  <c:v>6</c:v>
                </c:pt>
                <c:pt idx="4">
                  <c:v>6</c:v>
                </c:pt>
                <c:pt idx="5">
                  <c:v>6</c:v>
                </c:pt>
                <c:pt idx="6">
                  <c:v>6</c:v>
                </c:pt>
                <c:pt idx="7">
                  <c:v>6</c:v>
                </c:pt>
                <c:pt idx="8">
                  <c:v>5</c:v>
                </c:pt>
                <c:pt idx="9">
                  <c:v>4</c:v>
                </c:pt>
                <c:pt idx="10">
                  <c:v>4</c:v>
                </c:pt>
                <c:pt idx="11">
                  <c:v>4</c:v>
                </c:pt>
                <c:pt idx="12">
                  <c:v>4</c:v>
                </c:pt>
                <c:pt idx="13">
                  <c:v>3</c:v>
                </c:pt>
                <c:pt idx="14">
                  <c:v>5</c:v>
                </c:pt>
                <c:pt idx="15">
                  <c:v>5</c:v>
                </c:pt>
                <c:pt idx="16">
                  <c:v>2</c:v>
                </c:pt>
                <c:pt idx="17">
                  <c:v>2</c:v>
                </c:pt>
                <c:pt idx="18">
                  <c:v>4</c:v>
                </c:pt>
                <c:pt idx="19">
                  <c:v>5</c:v>
                </c:pt>
                <c:pt idx="20">
                  <c:v>5</c:v>
                </c:pt>
                <c:pt idx="21">
                  <c:v>4</c:v>
                </c:pt>
                <c:pt idx="22">
                  <c:v>3</c:v>
                </c:pt>
                <c:pt idx="23">
                  <c:v>3</c:v>
                </c:pt>
                <c:pt idx="24">
                  <c:v>1</c:v>
                </c:pt>
                <c:pt idx="25">
                  <c:v>1</c:v>
                </c:pt>
                <c:pt idx="26">
                  <c:v>2</c:v>
                </c:pt>
                <c:pt idx="27">
                  <c:v>2</c:v>
                </c:pt>
                <c:pt idx="28">
                  <c:v>2</c:v>
                </c:pt>
                <c:pt idx="29">
                  <c:v>1</c:v>
                </c:pt>
                <c:pt idx="30">
                  <c:v>1</c:v>
                </c:pt>
                <c:pt idx="31">
                  <c:v>2</c:v>
                </c:pt>
                <c:pt idx="32">
                  <c:v>4</c:v>
                </c:pt>
                <c:pt idx="33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8DB-45A0-9CA8-71DFA41046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107567119"/>
        <c:axId val="1107568367"/>
      </c:barChart>
      <c:catAx>
        <c:axId val="110756711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7568367"/>
        <c:crosses val="autoZero"/>
        <c:auto val="1"/>
        <c:lblAlgn val="ctr"/>
        <c:lblOffset val="100"/>
        <c:noMultiLvlLbl val="0"/>
      </c:catAx>
      <c:valAx>
        <c:axId val="11075683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756711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100"/>
              <a:t>Frequency of Word "Inflation"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work!$E$37:$F$68</c:f>
              <c:multiLvlStrCache>
                <c:ptCount val="32"/>
                <c:lvl>
                  <c:pt idx="0">
                    <c:v>Jan</c:v>
                  </c:pt>
                  <c:pt idx="1">
                    <c:v>Mar</c:v>
                  </c:pt>
                  <c:pt idx="2">
                    <c:v>Apr</c:v>
                  </c:pt>
                  <c:pt idx="3">
                    <c:v>Jun</c:v>
                  </c:pt>
                  <c:pt idx="4">
                    <c:v>Aug</c:v>
                  </c:pt>
                  <c:pt idx="5">
                    <c:v>Sep</c:v>
                  </c:pt>
                  <c:pt idx="6">
                    <c:v>Nov</c:v>
                  </c:pt>
                  <c:pt idx="7">
                    <c:v>Dec</c:v>
                  </c:pt>
                  <c:pt idx="8">
                    <c:v>Jan</c:v>
                  </c:pt>
                  <c:pt idx="9">
                    <c:v>Mar</c:v>
                  </c:pt>
                  <c:pt idx="10">
                    <c:v>Apr</c:v>
                  </c:pt>
                  <c:pt idx="11">
                    <c:v>Jun</c:v>
                  </c:pt>
                  <c:pt idx="12">
                    <c:v>Aug</c:v>
                  </c:pt>
                  <c:pt idx="13">
                    <c:v>Sep</c:v>
                  </c:pt>
                  <c:pt idx="14">
                    <c:v>Nov</c:v>
                  </c:pt>
                  <c:pt idx="15">
                    <c:v>Dec</c:v>
                  </c:pt>
                  <c:pt idx="16">
                    <c:v>Jan</c:v>
                  </c:pt>
                  <c:pt idx="17">
                    <c:v>Mar</c:v>
                  </c:pt>
                  <c:pt idx="18">
                    <c:v>Apr</c:v>
                  </c:pt>
                  <c:pt idx="19">
                    <c:v>Jun</c:v>
                  </c:pt>
                  <c:pt idx="20">
                    <c:v>Aug</c:v>
                  </c:pt>
                  <c:pt idx="21">
                    <c:v>Sep</c:v>
                  </c:pt>
                  <c:pt idx="22">
                    <c:v>Oct</c:v>
                  </c:pt>
                  <c:pt idx="23">
                    <c:v>Dec</c:v>
                  </c:pt>
                  <c:pt idx="24">
                    <c:v>Jan</c:v>
                  </c:pt>
                  <c:pt idx="25">
                    <c:v>Mar</c:v>
                  </c:pt>
                  <c:pt idx="26">
                    <c:v>may</c:v>
                  </c:pt>
                  <c:pt idx="27">
                    <c:v>Jun</c:v>
                  </c:pt>
                  <c:pt idx="28">
                    <c:v>Jul</c:v>
                  </c:pt>
                  <c:pt idx="29">
                    <c:v>Sep</c:v>
                  </c:pt>
                  <c:pt idx="30">
                    <c:v>Oct</c:v>
                  </c:pt>
                  <c:pt idx="31">
                    <c:v>Dec</c:v>
                  </c:pt>
                </c:lvl>
                <c:lvl>
                  <c:pt idx="0">
                    <c:v>2010</c:v>
                  </c:pt>
                  <c:pt idx="8">
                    <c:v>2011</c:v>
                  </c:pt>
                  <c:pt idx="16">
                    <c:v>2012</c:v>
                  </c:pt>
                  <c:pt idx="24">
                    <c:v>2013</c:v>
                  </c:pt>
                </c:lvl>
              </c:multiLvlStrCache>
            </c:multiLvlStrRef>
          </c:cat>
          <c:val>
            <c:numRef>
              <c:f>work!$G$37:$G$68</c:f>
              <c:numCache>
                <c:formatCode>General</c:formatCode>
                <c:ptCount val="32"/>
                <c:pt idx="0">
                  <c:v>4</c:v>
                </c:pt>
                <c:pt idx="1">
                  <c:v>4</c:v>
                </c:pt>
                <c:pt idx="2">
                  <c:v>4</c:v>
                </c:pt>
                <c:pt idx="3">
                  <c:v>5</c:v>
                </c:pt>
                <c:pt idx="4">
                  <c:v>5</c:v>
                </c:pt>
                <c:pt idx="5">
                  <c:v>6</c:v>
                </c:pt>
                <c:pt idx="6">
                  <c:v>8</c:v>
                </c:pt>
                <c:pt idx="7">
                  <c:v>8</c:v>
                </c:pt>
                <c:pt idx="8">
                  <c:v>7</c:v>
                </c:pt>
                <c:pt idx="9">
                  <c:v>10</c:v>
                </c:pt>
                <c:pt idx="10">
                  <c:v>11</c:v>
                </c:pt>
                <c:pt idx="11">
                  <c:v>8</c:v>
                </c:pt>
                <c:pt idx="12">
                  <c:v>8</c:v>
                </c:pt>
                <c:pt idx="13">
                  <c:v>7</c:v>
                </c:pt>
                <c:pt idx="14">
                  <c:v>7</c:v>
                </c:pt>
                <c:pt idx="15">
                  <c:v>7</c:v>
                </c:pt>
                <c:pt idx="16">
                  <c:v>5</c:v>
                </c:pt>
                <c:pt idx="17">
                  <c:v>6</c:v>
                </c:pt>
                <c:pt idx="18">
                  <c:v>6</c:v>
                </c:pt>
                <c:pt idx="19">
                  <c:v>5</c:v>
                </c:pt>
                <c:pt idx="20">
                  <c:v>5</c:v>
                </c:pt>
                <c:pt idx="21">
                  <c:v>4</c:v>
                </c:pt>
                <c:pt idx="22">
                  <c:v>4</c:v>
                </c:pt>
                <c:pt idx="23">
                  <c:v>9</c:v>
                </c:pt>
                <c:pt idx="24">
                  <c:v>10</c:v>
                </c:pt>
                <c:pt idx="25">
                  <c:v>10</c:v>
                </c:pt>
                <c:pt idx="26">
                  <c:v>11</c:v>
                </c:pt>
                <c:pt idx="27">
                  <c:v>13</c:v>
                </c:pt>
                <c:pt idx="28">
                  <c:v>12</c:v>
                </c:pt>
                <c:pt idx="29">
                  <c:v>12</c:v>
                </c:pt>
                <c:pt idx="30">
                  <c:v>12</c:v>
                </c:pt>
                <c:pt idx="31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4BF-4927-BB54-0B09A69A9AD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107567119"/>
        <c:axId val="1107568367"/>
      </c:barChart>
      <c:catAx>
        <c:axId val="110756711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7568367"/>
        <c:crosses val="autoZero"/>
        <c:auto val="1"/>
        <c:lblAlgn val="ctr"/>
        <c:lblOffset val="100"/>
        <c:noMultiLvlLbl val="0"/>
      </c:catAx>
      <c:valAx>
        <c:axId val="11075683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756711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Trend of all sentiment for all FOMC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Sheet1!$D$1</c:f>
              <c:strCache>
                <c:ptCount val="1"/>
                <c:pt idx="0">
                  <c:v>Mean Positive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none"/>
          </c:marker>
          <c:val>
            <c:numRef>
              <c:f>Sheet1!$D$2:$D$151</c:f>
              <c:numCache>
                <c:formatCode>0</c:formatCode>
                <c:ptCount val="150"/>
                <c:pt idx="0">
                  <c:v>55.555555555555557</c:v>
                </c:pt>
                <c:pt idx="1">
                  <c:v>57.142857142857139</c:v>
                </c:pt>
                <c:pt idx="2">
                  <c:v>50</c:v>
                </c:pt>
                <c:pt idx="3">
                  <c:v>57.142857142857139</c:v>
                </c:pt>
                <c:pt idx="4">
                  <c:v>50</c:v>
                </c:pt>
                <c:pt idx="5">
                  <c:v>50</c:v>
                </c:pt>
                <c:pt idx="6">
                  <c:v>50</c:v>
                </c:pt>
                <c:pt idx="7">
                  <c:v>57.142857142857139</c:v>
                </c:pt>
                <c:pt idx="8">
                  <c:v>33.333333333333329</c:v>
                </c:pt>
                <c:pt idx="9">
                  <c:v>50</c:v>
                </c:pt>
                <c:pt idx="10">
                  <c:v>30</c:v>
                </c:pt>
                <c:pt idx="11">
                  <c:v>44.444444444444443</c:v>
                </c:pt>
                <c:pt idx="12">
                  <c:v>80</c:v>
                </c:pt>
                <c:pt idx="13">
                  <c:v>100</c:v>
                </c:pt>
                <c:pt idx="14">
                  <c:v>50</c:v>
                </c:pt>
                <c:pt idx="15">
                  <c:v>50</c:v>
                </c:pt>
                <c:pt idx="16">
                  <c:v>44.444444444444443</c:v>
                </c:pt>
                <c:pt idx="17">
                  <c:v>62.5</c:v>
                </c:pt>
                <c:pt idx="18">
                  <c:v>42.857142857142847</c:v>
                </c:pt>
                <c:pt idx="19">
                  <c:v>25</c:v>
                </c:pt>
                <c:pt idx="20">
                  <c:v>45.454545454545453</c:v>
                </c:pt>
                <c:pt idx="21">
                  <c:v>30</c:v>
                </c:pt>
                <c:pt idx="22">
                  <c:v>74.418604651162795</c:v>
                </c:pt>
                <c:pt idx="23">
                  <c:v>37.5</c:v>
                </c:pt>
                <c:pt idx="24">
                  <c:v>30</c:v>
                </c:pt>
                <c:pt idx="25">
                  <c:v>50</c:v>
                </c:pt>
                <c:pt idx="26">
                  <c:v>50</c:v>
                </c:pt>
                <c:pt idx="27">
                  <c:v>30</c:v>
                </c:pt>
                <c:pt idx="28">
                  <c:v>36.363636363636367</c:v>
                </c:pt>
                <c:pt idx="29">
                  <c:v>56.25</c:v>
                </c:pt>
                <c:pt idx="30">
                  <c:v>53.333333333333343</c:v>
                </c:pt>
                <c:pt idx="31">
                  <c:v>62.5</c:v>
                </c:pt>
                <c:pt idx="32">
                  <c:v>52.941176470588239</c:v>
                </c:pt>
                <c:pt idx="33">
                  <c:v>53.333333333333343</c:v>
                </c:pt>
                <c:pt idx="34">
                  <c:v>52.631578947368418</c:v>
                </c:pt>
                <c:pt idx="35">
                  <c:v>43.75</c:v>
                </c:pt>
                <c:pt idx="36">
                  <c:v>56.25</c:v>
                </c:pt>
                <c:pt idx="37">
                  <c:v>41.666666666666671</c:v>
                </c:pt>
                <c:pt idx="38">
                  <c:v>41.666666666666671</c:v>
                </c:pt>
                <c:pt idx="39">
                  <c:v>43.75</c:v>
                </c:pt>
                <c:pt idx="40">
                  <c:v>42.857142857142847</c:v>
                </c:pt>
                <c:pt idx="41">
                  <c:v>53.846153846153847</c:v>
                </c:pt>
                <c:pt idx="42">
                  <c:v>43.75</c:v>
                </c:pt>
                <c:pt idx="43">
                  <c:v>50</c:v>
                </c:pt>
                <c:pt idx="44">
                  <c:v>81.818181818181827</c:v>
                </c:pt>
                <c:pt idx="45">
                  <c:v>50</c:v>
                </c:pt>
                <c:pt idx="46">
                  <c:v>43.75</c:v>
                </c:pt>
                <c:pt idx="47">
                  <c:v>45</c:v>
                </c:pt>
                <c:pt idx="48">
                  <c:v>35.294117647058833</c:v>
                </c:pt>
                <c:pt idx="49">
                  <c:v>41.17647058823529</c:v>
                </c:pt>
                <c:pt idx="50">
                  <c:v>46.666666666666657</c:v>
                </c:pt>
                <c:pt idx="51">
                  <c:v>43.75</c:v>
                </c:pt>
                <c:pt idx="52">
                  <c:v>45.454545454545453</c:v>
                </c:pt>
                <c:pt idx="53">
                  <c:v>46.666666666666657</c:v>
                </c:pt>
                <c:pt idx="54">
                  <c:v>37.5</c:v>
                </c:pt>
                <c:pt idx="55">
                  <c:v>36.84210526315789</c:v>
                </c:pt>
                <c:pt idx="56">
                  <c:v>29.411764705882359</c:v>
                </c:pt>
                <c:pt idx="57">
                  <c:v>25</c:v>
                </c:pt>
                <c:pt idx="58">
                  <c:v>31.578947368421051</c:v>
                </c:pt>
                <c:pt idx="59">
                  <c:v>42.857142857142847</c:v>
                </c:pt>
                <c:pt idx="60">
                  <c:v>31.578947368421051</c:v>
                </c:pt>
                <c:pt idx="61">
                  <c:v>40.909090909090907</c:v>
                </c:pt>
                <c:pt idx="62">
                  <c:v>38.095238095238088</c:v>
                </c:pt>
                <c:pt idx="63">
                  <c:v>40</c:v>
                </c:pt>
                <c:pt idx="64">
                  <c:v>31.81818181818182</c:v>
                </c:pt>
                <c:pt idx="65">
                  <c:v>34.782608695652172</c:v>
                </c:pt>
                <c:pt idx="66">
                  <c:v>35</c:v>
                </c:pt>
                <c:pt idx="67">
                  <c:v>35</c:v>
                </c:pt>
                <c:pt idx="68">
                  <c:v>40</c:v>
                </c:pt>
                <c:pt idx="69">
                  <c:v>33.333333333333329</c:v>
                </c:pt>
                <c:pt idx="70">
                  <c:v>33.333333333333329</c:v>
                </c:pt>
                <c:pt idx="71">
                  <c:v>38.461538461538467</c:v>
                </c:pt>
                <c:pt idx="72">
                  <c:v>40</c:v>
                </c:pt>
                <c:pt idx="73">
                  <c:v>37.5</c:v>
                </c:pt>
                <c:pt idx="74">
                  <c:v>39.130434782608702</c:v>
                </c:pt>
                <c:pt idx="75">
                  <c:v>29.166666666666671</c:v>
                </c:pt>
                <c:pt idx="76">
                  <c:v>44.444444444444443</c:v>
                </c:pt>
                <c:pt idx="77">
                  <c:v>32</c:v>
                </c:pt>
                <c:pt idx="78">
                  <c:v>30</c:v>
                </c:pt>
                <c:pt idx="79">
                  <c:v>39.130434782608702</c:v>
                </c:pt>
                <c:pt idx="80">
                  <c:v>28.571428571428569</c:v>
                </c:pt>
                <c:pt idx="81">
                  <c:v>30</c:v>
                </c:pt>
                <c:pt idx="82">
                  <c:v>33.333333333333329</c:v>
                </c:pt>
                <c:pt idx="83">
                  <c:v>30</c:v>
                </c:pt>
                <c:pt idx="84">
                  <c:v>34.782608695652172</c:v>
                </c:pt>
                <c:pt idx="85">
                  <c:v>47.619047619047613</c:v>
                </c:pt>
                <c:pt idx="86">
                  <c:v>47.826086956521742</c:v>
                </c:pt>
                <c:pt idx="87">
                  <c:v>50</c:v>
                </c:pt>
                <c:pt idx="88">
                  <c:v>52.380952380952387</c:v>
                </c:pt>
                <c:pt idx="89">
                  <c:v>52.173913043478258</c:v>
                </c:pt>
                <c:pt idx="90">
                  <c:v>50</c:v>
                </c:pt>
                <c:pt idx="91">
                  <c:v>50</c:v>
                </c:pt>
                <c:pt idx="92">
                  <c:v>56.521739130434781</c:v>
                </c:pt>
                <c:pt idx="93">
                  <c:v>50</c:v>
                </c:pt>
                <c:pt idx="94">
                  <c:v>50</c:v>
                </c:pt>
                <c:pt idx="95">
                  <c:v>52.380952380952387</c:v>
                </c:pt>
                <c:pt idx="96">
                  <c:v>50</c:v>
                </c:pt>
                <c:pt idx="97">
                  <c:v>57.142857142857139</c:v>
                </c:pt>
                <c:pt idx="98">
                  <c:v>52.173913043478258</c:v>
                </c:pt>
                <c:pt idx="99">
                  <c:v>50</c:v>
                </c:pt>
                <c:pt idx="100">
                  <c:v>50</c:v>
                </c:pt>
                <c:pt idx="101">
                  <c:v>54.54545454545454</c:v>
                </c:pt>
                <c:pt idx="102">
                  <c:v>64.285714285714292</c:v>
                </c:pt>
                <c:pt idx="103">
                  <c:v>63.157894736842103</c:v>
                </c:pt>
                <c:pt idx="104">
                  <c:v>57.142857142857139</c:v>
                </c:pt>
                <c:pt idx="105">
                  <c:v>61.111111111111107</c:v>
                </c:pt>
                <c:pt idx="106">
                  <c:v>53.333333333333343</c:v>
                </c:pt>
                <c:pt idx="107">
                  <c:v>50</c:v>
                </c:pt>
                <c:pt idx="108">
                  <c:v>60</c:v>
                </c:pt>
                <c:pt idx="109">
                  <c:v>57.142857142857139</c:v>
                </c:pt>
                <c:pt idx="110">
                  <c:v>46.666666666666657</c:v>
                </c:pt>
                <c:pt idx="111">
                  <c:v>50</c:v>
                </c:pt>
                <c:pt idx="112">
                  <c:v>50</c:v>
                </c:pt>
                <c:pt idx="113">
                  <c:v>50</c:v>
                </c:pt>
                <c:pt idx="114">
                  <c:v>57.142857142857139</c:v>
                </c:pt>
                <c:pt idx="115">
                  <c:v>57.142857142857139</c:v>
                </c:pt>
                <c:pt idx="116">
                  <c:v>88.235294117647058</c:v>
                </c:pt>
                <c:pt idx="117">
                  <c:v>50</c:v>
                </c:pt>
                <c:pt idx="118">
                  <c:v>57.142857142857139</c:v>
                </c:pt>
                <c:pt idx="119">
                  <c:v>63.636363636363633</c:v>
                </c:pt>
                <c:pt idx="120">
                  <c:v>48.148148148148152</c:v>
                </c:pt>
                <c:pt idx="121">
                  <c:v>97.058823529411768</c:v>
                </c:pt>
                <c:pt idx="122">
                  <c:v>66.666666666666657</c:v>
                </c:pt>
                <c:pt idx="123">
                  <c:v>63.636363636363633</c:v>
                </c:pt>
                <c:pt idx="124">
                  <c:v>68.181818181818173</c:v>
                </c:pt>
                <c:pt idx="125">
                  <c:v>71.428571428571431</c:v>
                </c:pt>
                <c:pt idx="126">
                  <c:v>57.142857142857139</c:v>
                </c:pt>
                <c:pt idx="127">
                  <c:v>60.869565217391312</c:v>
                </c:pt>
                <c:pt idx="128">
                  <c:v>66.666666666666657</c:v>
                </c:pt>
                <c:pt idx="129">
                  <c:v>64</c:v>
                </c:pt>
                <c:pt idx="130">
                  <c:v>58.333333333333343</c:v>
                </c:pt>
                <c:pt idx="131">
                  <c:v>69.230769230769226</c:v>
                </c:pt>
                <c:pt idx="132">
                  <c:v>66.666666666666657</c:v>
                </c:pt>
                <c:pt idx="133">
                  <c:v>60.714285714285708</c:v>
                </c:pt>
                <c:pt idx="134">
                  <c:v>65.217391304347828</c:v>
                </c:pt>
                <c:pt idx="135">
                  <c:v>62.5</c:v>
                </c:pt>
                <c:pt idx="136">
                  <c:v>60.869565217391312</c:v>
                </c:pt>
                <c:pt idx="137">
                  <c:v>59.090909090909093</c:v>
                </c:pt>
                <c:pt idx="138">
                  <c:v>50</c:v>
                </c:pt>
                <c:pt idx="139">
                  <c:v>50</c:v>
                </c:pt>
                <c:pt idx="140">
                  <c:v>47.058823529411761</c:v>
                </c:pt>
                <c:pt idx="141">
                  <c:v>58.82352941176471</c:v>
                </c:pt>
                <c:pt idx="142">
                  <c:v>50</c:v>
                </c:pt>
                <c:pt idx="143">
                  <c:v>60</c:v>
                </c:pt>
                <c:pt idx="144">
                  <c:v>50</c:v>
                </c:pt>
                <c:pt idx="145">
                  <c:v>71.428571428571431</c:v>
                </c:pt>
                <c:pt idx="146">
                  <c:v>63.636363636363633</c:v>
                </c:pt>
                <c:pt idx="147">
                  <c:v>76.19047619047619</c:v>
                </c:pt>
                <c:pt idx="148">
                  <c:v>58.82352941176471</c:v>
                </c:pt>
                <c:pt idx="149">
                  <c:v>71.428571428571431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409-4530-8A82-42323400C03F}"/>
            </c:ext>
          </c:extLst>
        </c:ser>
        <c:ser>
          <c:idx val="1"/>
          <c:order val="1"/>
          <c:tx>
            <c:strRef>
              <c:f>Sheet1!$E$1</c:f>
              <c:strCache>
                <c:ptCount val="1"/>
                <c:pt idx="0">
                  <c:v>Mean Negative</c:v>
                </c:pt>
              </c:strCache>
            </c:strRef>
          </c:tx>
          <c:spPr>
            <a:ln w="28575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val>
            <c:numRef>
              <c:f>Sheet1!$E$2:$E$151</c:f>
              <c:numCache>
                <c:formatCode>0</c:formatCode>
                <c:ptCount val="150"/>
                <c:pt idx="0">
                  <c:v>11.111111111111111</c:v>
                </c:pt>
                <c:pt idx="1">
                  <c:v>28.571428571428569</c:v>
                </c:pt>
                <c:pt idx="2">
                  <c:v>25</c:v>
                </c:pt>
                <c:pt idx="3">
                  <c:v>28.571428571428569</c:v>
                </c:pt>
                <c:pt idx="4">
                  <c:v>37.5</c:v>
                </c:pt>
                <c:pt idx="5">
                  <c:v>25</c:v>
                </c:pt>
                <c:pt idx="6">
                  <c:v>50</c:v>
                </c:pt>
                <c:pt idx="7">
                  <c:v>14.285714285714279</c:v>
                </c:pt>
                <c:pt idx="8">
                  <c:v>44.444444444444443</c:v>
                </c:pt>
                <c:pt idx="9">
                  <c:v>25</c:v>
                </c:pt>
                <c:pt idx="10">
                  <c:v>40</c:v>
                </c:pt>
                <c:pt idx="11">
                  <c:v>44.444444444444443</c:v>
                </c:pt>
                <c:pt idx="12">
                  <c:v>0</c:v>
                </c:pt>
                <c:pt idx="13">
                  <c:v>0</c:v>
                </c:pt>
                <c:pt idx="14">
                  <c:v>50</c:v>
                </c:pt>
                <c:pt idx="15">
                  <c:v>37.5</c:v>
                </c:pt>
                <c:pt idx="16">
                  <c:v>22.222222222222221</c:v>
                </c:pt>
                <c:pt idx="17">
                  <c:v>12.5</c:v>
                </c:pt>
                <c:pt idx="18">
                  <c:v>14.285714285714279</c:v>
                </c:pt>
                <c:pt idx="19">
                  <c:v>33.333333333333329</c:v>
                </c:pt>
                <c:pt idx="20">
                  <c:v>9.0909090909090917</c:v>
                </c:pt>
                <c:pt idx="21">
                  <c:v>40</c:v>
                </c:pt>
                <c:pt idx="22">
                  <c:v>25.581395348837209</c:v>
                </c:pt>
                <c:pt idx="23">
                  <c:v>31.25</c:v>
                </c:pt>
                <c:pt idx="24">
                  <c:v>30</c:v>
                </c:pt>
                <c:pt idx="25">
                  <c:v>12.5</c:v>
                </c:pt>
                <c:pt idx="26">
                  <c:v>25</c:v>
                </c:pt>
                <c:pt idx="27">
                  <c:v>40</c:v>
                </c:pt>
                <c:pt idx="28">
                  <c:v>27.27272727272727</c:v>
                </c:pt>
                <c:pt idx="29">
                  <c:v>18.75</c:v>
                </c:pt>
                <c:pt idx="30">
                  <c:v>33.333333333333329</c:v>
                </c:pt>
                <c:pt idx="31">
                  <c:v>18.75</c:v>
                </c:pt>
                <c:pt idx="32">
                  <c:v>11.76470588235294</c:v>
                </c:pt>
                <c:pt idx="33">
                  <c:v>26.666666666666671</c:v>
                </c:pt>
                <c:pt idx="34">
                  <c:v>31.578947368421051</c:v>
                </c:pt>
                <c:pt idx="35">
                  <c:v>25</c:v>
                </c:pt>
                <c:pt idx="36">
                  <c:v>31.25</c:v>
                </c:pt>
                <c:pt idx="37">
                  <c:v>25</c:v>
                </c:pt>
                <c:pt idx="38">
                  <c:v>33.333333333333329</c:v>
                </c:pt>
                <c:pt idx="39">
                  <c:v>25</c:v>
                </c:pt>
                <c:pt idx="40">
                  <c:v>42.857142857142847</c:v>
                </c:pt>
                <c:pt idx="41">
                  <c:v>30.76923076923077</c:v>
                </c:pt>
                <c:pt idx="42">
                  <c:v>25</c:v>
                </c:pt>
                <c:pt idx="43">
                  <c:v>38.888888888888893</c:v>
                </c:pt>
                <c:pt idx="44">
                  <c:v>13.63636363636363</c:v>
                </c:pt>
                <c:pt idx="45">
                  <c:v>16.666666666666661</c:v>
                </c:pt>
                <c:pt idx="46">
                  <c:v>43.75</c:v>
                </c:pt>
                <c:pt idx="47">
                  <c:v>30</c:v>
                </c:pt>
                <c:pt idx="48">
                  <c:v>47.058823529411761</c:v>
                </c:pt>
                <c:pt idx="49">
                  <c:v>35.294117647058833</c:v>
                </c:pt>
                <c:pt idx="50">
                  <c:v>46.666666666666657</c:v>
                </c:pt>
                <c:pt idx="51">
                  <c:v>37.5</c:v>
                </c:pt>
                <c:pt idx="52">
                  <c:v>36.363636363636367</c:v>
                </c:pt>
                <c:pt idx="53">
                  <c:v>26.666666666666671</c:v>
                </c:pt>
                <c:pt idx="54">
                  <c:v>37.5</c:v>
                </c:pt>
                <c:pt idx="55">
                  <c:v>36.84210526315789</c:v>
                </c:pt>
                <c:pt idx="56">
                  <c:v>52.941176470588239</c:v>
                </c:pt>
                <c:pt idx="57">
                  <c:v>50</c:v>
                </c:pt>
                <c:pt idx="58">
                  <c:v>47.368421052631582</c:v>
                </c:pt>
                <c:pt idx="59">
                  <c:v>28.571428571428569</c:v>
                </c:pt>
                <c:pt idx="60">
                  <c:v>42.105263157894733</c:v>
                </c:pt>
                <c:pt idx="61">
                  <c:v>36.363636363636367</c:v>
                </c:pt>
                <c:pt idx="62">
                  <c:v>47.619047619047613</c:v>
                </c:pt>
                <c:pt idx="63">
                  <c:v>50</c:v>
                </c:pt>
                <c:pt idx="64">
                  <c:v>54.54545454545454</c:v>
                </c:pt>
                <c:pt idx="65">
                  <c:v>52.173913043478258</c:v>
                </c:pt>
                <c:pt idx="66">
                  <c:v>50</c:v>
                </c:pt>
                <c:pt idx="67">
                  <c:v>50</c:v>
                </c:pt>
                <c:pt idx="68">
                  <c:v>45</c:v>
                </c:pt>
                <c:pt idx="69">
                  <c:v>57.142857142857139</c:v>
                </c:pt>
                <c:pt idx="70">
                  <c:v>50</c:v>
                </c:pt>
                <c:pt idx="71">
                  <c:v>50</c:v>
                </c:pt>
                <c:pt idx="72">
                  <c:v>52</c:v>
                </c:pt>
                <c:pt idx="73">
                  <c:v>50</c:v>
                </c:pt>
                <c:pt idx="74">
                  <c:v>47.826086956521742</c:v>
                </c:pt>
                <c:pt idx="75">
                  <c:v>58.333333333333343</c:v>
                </c:pt>
                <c:pt idx="76">
                  <c:v>48.148148148148152</c:v>
                </c:pt>
                <c:pt idx="77">
                  <c:v>60</c:v>
                </c:pt>
                <c:pt idx="78">
                  <c:v>60</c:v>
                </c:pt>
                <c:pt idx="79">
                  <c:v>47.826086956521742</c:v>
                </c:pt>
                <c:pt idx="80">
                  <c:v>52.380952380952387</c:v>
                </c:pt>
                <c:pt idx="81">
                  <c:v>60</c:v>
                </c:pt>
                <c:pt idx="82">
                  <c:v>47.619047619047613</c:v>
                </c:pt>
                <c:pt idx="83">
                  <c:v>55.000000000000007</c:v>
                </c:pt>
                <c:pt idx="84">
                  <c:v>47.826086956521742</c:v>
                </c:pt>
                <c:pt idx="85">
                  <c:v>42.857142857142847</c:v>
                </c:pt>
                <c:pt idx="86">
                  <c:v>43.478260869565219</c:v>
                </c:pt>
                <c:pt idx="87">
                  <c:v>40.909090909090907</c:v>
                </c:pt>
                <c:pt idx="88">
                  <c:v>33.333333333333329</c:v>
                </c:pt>
                <c:pt idx="89">
                  <c:v>39.130434782608702</c:v>
                </c:pt>
                <c:pt idx="90">
                  <c:v>36.363636363636367</c:v>
                </c:pt>
                <c:pt idx="91">
                  <c:v>31.81818181818182</c:v>
                </c:pt>
                <c:pt idx="92">
                  <c:v>39.130434782608702</c:v>
                </c:pt>
                <c:pt idx="93">
                  <c:v>50</c:v>
                </c:pt>
                <c:pt idx="94">
                  <c:v>31.81818181818182</c:v>
                </c:pt>
                <c:pt idx="95">
                  <c:v>42.857142857142847</c:v>
                </c:pt>
                <c:pt idx="96">
                  <c:v>35</c:v>
                </c:pt>
                <c:pt idx="97">
                  <c:v>28.571428571428569</c:v>
                </c:pt>
                <c:pt idx="98">
                  <c:v>34.782608695652172</c:v>
                </c:pt>
                <c:pt idx="99">
                  <c:v>40.909090909090907</c:v>
                </c:pt>
                <c:pt idx="100">
                  <c:v>36.363636363636367</c:v>
                </c:pt>
                <c:pt idx="101">
                  <c:v>31.81818181818182</c:v>
                </c:pt>
                <c:pt idx="102">
                  <c:v>35.714285714285722</c:v>
                </c:pt>
                <c:pt idx="103">
                  <c:v>31.578947368421051</c:v>
                </c:pt>
                <c:pt idx="104">
                  <c:v>42.857142857142847</c:v>
                </c:pt>
                <c:pt idx="105">
                  <c:v>33.333333333333329</c:v>
                </c:pt>
                <c:pt idx="106">
                  <c:v>46.666666666666657</c:v>
                </c:pt>
                <c:pt idx="107">
                  <c:v>45</c:v>
                </c:pt>
                <c:pt idx="108">
                  <c:v>40</c:v>
                </c:pt>
                <c:pt idx="109">
                  <c:v>42.857142857142847</c:v>
                </c:pt>
                <c:pt idx="110">
                  <c:v>33.333333333333329</c:v>
                </c:pt>
                <c:pt idx="111">
                  <c:v>28.571428571428569</c:v>
                </c:pt>
                <c:pt idx="112">
                  <c:v>28.571428571428569</c:v>
                </c:pt>
                <c:pt idx="113">
                  <c:v>42.857142857142847</c:v>
                </c:pt>
                <c:pt idx="114">
                  <c:v>28.571428571428569</c:v>
                </c:pt>
                <c:pt idx="115">
                  <c:v>28.571428571428569</c:v>
                </c:pt>
                <c:pt idx="116">
                  <c:v>11.76470588235294</c:v>
                </c:pt>
                <c:pt idx="117">
                  <c:v>21.428571428571431</c:v>
                </c:pt>
                <c:pt idx="118">
                  <c:v>35.714285714285722</c:v>
                </c:pt>
                <c:pt idx="119">
                  <c:v>22.72727272727273</c:v>
                </c:pt>
                <c:pt idx="120">
                  <c:v>29.62962962962963</c:v>
                </c:pt>
                <c:pt idx="121">
                  <c:v>2.9411764705882351</c:v>
                </c:pt>
                <c:pt idx="122">
                  <c:v>14.285714285714279</c:v>
                </c:pt>
                <c:pt idx="123">
                  <c:v>22.72727272727273</c:v>
                </c:pt>
                <c:pt idx="124">
                  <c:v>18.18181818181818</c:v>
                </c:pt>
                <c:pt idx="125">
                  <c:v>4.7619047619047619</c:v>
                </c:pt>
                <c:pt idx="126">
                  <c:v>28.571428571428569</c:v>
                </c:pt>
                <c:pt idx="127">
                  <c:v>26.086956521739129</c:v>
                </c:pt>
                <c:pt idx="128">
                  <c:v>11.111111111111111</c:v>
                </c:pt>
                <c:pt idx="129">
                  <c:v>32</c:v>
                </c:pt>
                <c:pt idx="130">
                  <c:v>33.333333333333329</c:v>
                </c:pt>
                <c:pt idx="131">
                  <c:v>26.92307692307692</c:v>
                </c:pt>
                <c:pt idx="132">
                  <c:v>33.333333333333329</c:v>
                </c:pt>
                <c:pt idx="133">
                  <c:v>28.571428571428569</c:v>
                </c:pt>
                <c:pt idx="134">
                  <c:v>26.086956521739129</c:v>
                </c:pt>
                <c:pt idx="135">
                  <c:v>33.333333333333329</c:v>
                </c:pt>
                <c:pt idx="136">
                  <c:v>26.086956521739129</c:v>
                </c:pt>
                <c:pt idx="137">
                  <c:v>36.363636363636367</c:v>
                </c:pt>
                <c:pt idx="138">
                  <c:v>25</c:v>
                </c:pt>
                <c:pt idx="139">
                  <c:v>18.75</c:v>
                </c:pt>
                <c:pt idx="140">
                  <c:v>23.52941176470588</c:v>
                </c:pt>
                <c:pt idx="141">
                  <c:v>23.52941176470588</c:v>
                </c:pt>
                <c:pt idx="142">
                  <c:v>27.777777777777779</c:v>
                </c:pt>
                <c:pt idx="143">
                  <c:v>15</c:v>
                </c:pt>
                <c:pt idx="144">
                  <c:v>27.777777777777779</c:v>
                </c:pt>
                <c:pt idx="145">
                  <c:v>23.80952380952381</c:v>
                </c:pt>
                <c:pt idx="146">
                  <c:v>27.27272727272727</c:v>
                </c:pt>
                <c:pt idx="147">
                  <c:v>19.047619047619051</c:v>
                </c:pt>
                <c:pt idx="148">
                  <c:v>29.411764705882359</c:v>
                </c:pt>
                <c:pt idx="149">
                  <c:v>23.80952380952381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409-4530-8A82-42323400C03F}"/>
            </c:ext>
          </c:extLst>
        </c:ser>
        <c:ser>
          <c:idx val="2"/>
          <c:order val="2"/>
          <c:tx>
            <c:strRef>
              <c:f>Sheet1!$F$1</c:f>
              <c:strCache>
                <c:ptCount val="1"/>
                <c:pt idx="0">
                  <c:v>Mean Neutral</c:v>
                </c:pt>
              </c:strCache>
            </c:strRef>
          </c:tx>
          <c:spPr>
            <a:ln w="28575" cap="rnd">
              <a:solidFill>
                <a:srgbClr val="00B0F0"/>
              </a:solidFill>
              <a:round/>
            </a:ln>
            <a:effectLst/>
          </c:spPr>
          <c:marker>
            <c:symbol val="none"/>
          </c:marker>
          <c:val>
            <c:numRef>
              <c:f>Sheet1!$F$2:$F$151</c:f>
              <c:numCache>
                <c:formatCode>0</c:formatCode>
                <c:ptCount val="150"/>
                <c:pt idx="0">
                  <c:v>33.333333333333329</c:v>
                </c:pt>
                <c:pt idx="1">
                  <c:v>14.285714285714279</c:v>
                </c:pt>
                <c:pt idx="2">
                  <c:v>25</c:v>
                </c:pt>
                <c:pt idx="3">
                  <c:v>14.285714285714279</c:v>
                </c:pt>
                <c:pt idx="4">
                  <c:v>12.5</c:v>
                </c:pt>
                <c:pt idx="5">
                  <c:v>25</c:v>
                </c:pt>
                <c:pt idx="6">
                  <c:v>0</c:v>
                </c:pt>
                <c:pt idx="7">
                  <c:v>28.571428571428569</c:v>
                </c:pt>
                <c:pt idx="8">
                  <c:v>22.222222222222221</c:v>
                </c:pt>
                <c:pt idx="9">
                  <c:v>25</c:v>
                </c:pt>
                <c:pt idx="10">
                  <c:v>30</c:v>
                </c:pt>
                <c:pt idx="11">
                  <c:v>11.111111111111111</c:v>
                </c:pt>
                <c:pt idx="12">
                  <c:v>20</c:v>
                </c:pt>
                <c:pt idx="13">
                  <c:v>0</c:v>
                </c:pt>
                <c:pt idx="14">
                  <c:v>0</c:v>
                </c:pt>
                <c:pt idx="15">
                  <c:v>12.5</c:v>
                </c:pt>
                <c:pt idx="16">
                  <c:v>33.333333333333329</c:v>
                </c:pt>
                <c:pt idx="17">
                  <c:v>25</c:v>
                </c:pt>
                <c:pt idx="18">
                  <c:v>42.857142857142847</c:v>
                </c:pt>
                <c:pt idx="19">
                  <c:v>41.666666666666671</c:v>
                </c:pt>
                <c:pt idx="20">
                  <c:v>45.454545454545453</c:v>
                </c:pt>
                <c:pt idx="21">
                  <c:v>30</c:v>
                </c:pt>
                <c:pt idx="22">
                  <c:v>0</c:v>
                </c:pt>
                <c:pt idx="23">
                  <c:v>31.25</c:v>
                </c:pt>
                <c:pt idx="24">
                  <c:v>40</c:v>
                </c:pt>
                <c:pt idx="25">
                  <c:v>37.5</c:v>
                </c:pt>
                <c:pt idx="26">
                  <c:v>25</c:v>
                </c:pt>
                <c:pt idx="27">
                  <c:v>30</c:v>
                </c:pt>
                <c:pt idx="28">
                  <c:v>36.363636363636367</c:v>
                </c:pt>
                <c:pt idx="29">
                  <c:v>25</c:v>
                </c:pt>
                <c:pt idx="30">
                  <c:v>13.33333333333333</c:v>
                </c:pt>
                <c:pt idx="31">
                  <c:v>18.75</c:v>
                </c:pt>
                <c:pt idx="32">
                  <c:v>35.294117647058833</c:v>
                </c:pt>
                <c:pt idx="33">
                  <c:v>20</c:v>
                </c:pt>
                <c:pt idx="34">
                  <c:v>15.789473684210529</c:v>
                </c:pt>
                <c:pt idx="35">
                  <c:v>31.25</c:v>
                </c:pt>
                <c:pt idx="36">
                  <c:v>12.5</c:v>
                </c:pt>
                <c:pt idx="37">
                  <c:v>33.333333333333329</c:v>
                </c:pt>
                <c:pt idx="38">
                  <c:v>25</c:v>
                </c:pt>
                <c:pt idx="39">
                  <c:v>31.25</c:v>
                </c:pt>
                <c:pt idx="40">
                  <c:v>14.285714285714279</c:v>
                </c:pt>
                <c:pt idx="41">
                  <c:v>15.38461538461539</c:v>
                </c:pt>
                <c:pt idx="42">
                  <c:v>31.25</c:v>
                </c:pt>
                <c:pt idx="43">
                  <c:v>11.111111111111111</c:v>
                </c:pt>
                <c:pt idx="44">
                  <c:v>4.5454545454545459</c:v>
                </c:pt>
                <c:pt idx="45">
                  <c:v>33.333333333333329</c:v>
                </c:pt>
                <c:pt idx="46">
                  <c:v>12.5</c:v>
                </c:pt>
                <c:pt idx="47">
                  <c:v>25</c:v>
                </c:pt>
                <c:pt idx="48">
                  <c:v>17.647058823529409</c:v>
                </c:pt>
                <c:pt idx="49">
                  <c:v>23.52941176470588</c:v>
                </c:pt>
                <c:pt idx="50">
                  <c:v>6.666666666666667</c:v>
                </c:pt>
                <c:pt idx="51">
                  <c:v>18.75</c:v>
                </c:pt>
                <c:pt idx="52">
                  <c:v>18.18181818181818</c:v>
                </c:pt>
                <c:pt idx="53">
                  <c:v>26.666666666666671</c:v>
                </c:pt>
                <c:pt idx="54">
                  <c:v>25</c:v>
                </c:pt>
                <c:pt idx="55">
                  <c:v>26.315789473684209</c:v>
                </c:pt>
                <c:pt idx="56">
                  <c:v>17.647058823529409</c:v>
                </c:pt>
                <c:pt idx="57">
                  <c:v>25</c:v>
                </c:pt>
                <c:pt idx="58">
                  <c:v>21.05263157894737</c:v>
                </c:pt>
                <c:pt idx="59">
                  <c:v>28.571428571428569</c:v>
                </c:pt>
                <c:pt idx="60">
                  <c:v>26.315789473684209</c:v>
                </c:pt>
                <c:pt idx="61">
                  <c:v>22.72727272727273</c:v>
                </c:pt>
                <c:pt idx="62">
                  <c:v>14.285714285714279</c:v>
                </c:pt>
                <c:pt idx="63">
                  <c:v>10</c:v>
                </c:pt>
                <c:pt idx="64">
                  <c:v>13.63636363636363</c:v>
                </c:pt>
                <c:pt idx="65">
                  <c:v>13.043478260869559</c:v>
                </c:pt>
                <c:pt idx="66">
                  <c:v>15</c:v>
                </c:pt>
                <c:pt idx="67">
                  <c:v>15</c:v>
                </c:pt>
                <c:pt idx="68">
                  <c:v>15</c:v>
                </c:pt>
                <c:pt idx="69">
                  <c:v>9.5238095238095237</c:v>
                </c:pt>
                <c:pt idx="70">
                  <c:v>16.666666666666661</c:v>
                </c:pt>
                <c:pt idx="71">
                  <c:v>11.53846153846154</c:v>
                </c:pt>
                <c:pt idx="72">
                  <c:v>8</c:v>
                </c:pt>
                <c:pt idx="73">
                  <c:v>12.5</c:v>
                </c:pt>
                <c:pt idx="74">
                  <c:v>13.043478260869559</c:v>
                </c:pt>
                <c:pt idx="75">
                  <c:v>12.5</c:v>
                </c:pt>
                <c:pt idx="76">
                  <c:v>7.4074074074074074</c:v>
                </c:pt>
                <c:pt idx="77">
                  <c:v>8</c:v>
                </c:pt>
                <c:pt idx="78">
                  <c:v>10</c:v>
                </c:pt>
                <c:pt idx="79">
                  <c:v>13.043478260869559</c:v>
                </c:pt>
                <c:pt idx="80">
                  <c:v>19.047619047619051</c:v>
                </c:pt>
                <c:pt idx="81">
                  <c:v>10</c:v>
                </c:pt>
                <c:pt idx="82">
                  <c:v>19.047619047619051</c:v>
                </c:pt>
                <c:pt idx="83">
                  <c:v>15</c:v>
                </c:pt>
                <c:pt idx="84">
                  <c:v>17.39130434782609</c:v>
                </c:pt>
                <c:pt idx="85">
                  <c:v>9.5238095238095237</c:v>
                </c:pt>
                <c:pt idx="86">
                  <c:v>8.695652173913043</c:v>
                </c:pt>
                <c:pt idx="87">
                  <c:v>9.0909090909090917</c:v>
                </c:pt>
                <c:pt idx="88">
                  <c:v>14.285714285714279</c:v>
                </c:pt>
                <c:pt idx="89">
                  <c:v>8.695652173913043</c:v>
                </c:pt>
                <c:pt idx="90">
                  <c:v>13.63636363636363</c:v>
                </c:pt>
                <c:pt idx="91">
                  <c:v>18.18181818181818</c:v>
                </c:pt>
                <c:pt idx="92">
                  <c:v>4.3478260869565224</c:v>
                </c:pt>
                <c:pt idx="93">
                  <c:v>0</c:v>
                </c:pt>
                <c:pt idx="94">
                  <c:v>18.18181818181818</c:v>
                </c:pt>
                <c:pt idx="95">
                  <c:v>4.7619047619047619</c:v>
                </c:pt>
                <c:pt idx="96">
                  <c:v>15</c:v>
                </c:pt>
                <c:pt idx="97">
                  <c:v>14.285714285714279</c:v>
                </c:pt>
                <c:pt idx="98">
                  <c:v>13.043478260869559</c:v>
                </c:pt>
                <c:pt idx="99">
                  <c:v>9.0909090909090917</c:v>
                </c:pt>
                <c:pt idx="100">
                  <c:v>13.63636363636363</c:v>
                </c:pt>
                <c:pt idx="101">
                  <c:v>13.63636363636363</c:v>
                </c:pt>
                <c:pt idx="102">
                  <c:v>0</c:v>
                </c:pt>
                <c:pt idx="103">
                  <c:v>5.2631578947368416</c:v>
                </c:pt>
                <c:pt idx="104">
                  <c:v>0</c:v>
                </c:pt>
                <c:pt idx="105">
                  <c:v>5.5555555555555554</c:v>
                </c:pt>
                <c:pt idx="106">
                  <c:v>0</c:v>
                </c:pt>
                <c:pt idx="107">
                  <c:v>5</c:v>
                </c:pt>
                <c:pt idx="108">
                  <c:v>0</c:v>
                </c:pt>
                <c:pt idx="109">
                  <c:v>0</c:v>
                </c:pt>
                <c:pt idx="110">
                  <c:v>20</c:v>
                </c:pt>
                <c:pt idx="111">
                  <c:v>21.428571428571431</c:v>
                </c:pt>
                <c:pt idx="112">
                  <c:v>21.428571428571431</c:v>
                </c:pt>
                <c:pt idx="113">
                  <c:v>7.1428571428571423</c:v>
                </c:pt>
                <c:pt idx="114">
                  <c:v>14.285714285714279</c:v>
                </c:pt>
                <c:pt idx="115">
                  <c:v>14.285714285714279</c:v>
                </c:pt>
                <c:pt idx="116">
                  <c:v>0</c:v>
                </c:pt>
                <c:pt idx="117">
                  <c:v>28.571428571428569</c:v>
                </c:pt>
                <c:pt idx="118">
                  <c:v>7.1428571428571423</c:v>
                </c:pt>
                <c:pt idx="119">
                  <c:v>13.63636363636363</c:v>
                </c:pt>
                <c:pt idx="120">
                  <c:v>22.222222222222221</c:v>
                </c:pt>
                <c:pt idx="121">
                  <c:v>0</c:v>
                </c:pt>
                <c:pt idx="122">
                  <c:v>19.047619047619051</c:v>
                </c:pt>
                <c:pt idx="123">
                  <c:v>13.63636363636363</c:v>
                </c:pt>
                <c:pt idx="124">
                  <c:v>13.63636363636363</c:v>
                </c:pt>
                <c:pt idx="125">
                  <c:v>23.80952380952381</c:v>
                </c:pt>
                <c:pt idx="126">
                  <c:v>14.285714285714279</c:v>
                </c:pt>
                <c:pt idx="127">
                  <c:v>13.043478260869559</c:v>
                </c:pt>
                <c:pt idx="128">
                  <c:v>22.222222222222221</c:v>
                </c:pt>
                <c:pt idx="129">
                  <c:v>4</c:v>
                </c:pt>
                <c:pt idx="130">
                  <c:v>8.3333333333333321</c:v>
                </c:pt>
                <c:pt idx="131">
                  <c:v>3.8461538461538458</c:v>
                </c:pt>
                <c:pt idx="132">
                  <c:v>0</c:v>
                </c:pt>
                <c:pt idx="133">
                  <c:v>10.71428571428571</c:v>
                </c:pt>
                <c:pt idx="134">
                  <c:v>8.695652173913043</c:v>
                </c:pt>
                <c:pt idx="135">
                  <c:v>4.1666666666666661</c:v>
                </c:pt>
                <c:pt idx="136">
                  <c:v>13.043478260869559</c:v>
                </c:pt>
                <c:pt idx="137">
                  <c:v>4.5454545454545459</c:v>
                </c:pt>
                <c:pt idx="138">
                  <c:v>25</c:v>
                </c:pt>
                <c:pt idx="139">
                  <c:v>31.25</c:v>
                </c:pt>
                <c:pt idx="140">
                  <c:v>29.411764705882359</c:v>
                </c:pt>
                <c:pt idx="141">
                  <c:v>17.647058823529409</c:v>
                </c:pt>
                <c:pt idx="142">
                  <c:v>22.222222222222221</c:v>
                </c:pt>
                <c:pt idx="143">
                  <c:v>25</c:v>
                </c:pt>
                <c:pt idx="144">
                  <c:v>22.222222222222221</c:v>
                </c:pt>
                <c:pt idx="145">
                  <c:v>4.7619047619047619</c:v>
                </c:pt>
                <c:pt idx="146">
                  <c:v>9.0909090909090917</c:v>
                </c:pt>
                <c:pt idx="147">
                  <c:v>4.7619047619047619</c:v>
                </c:pt>
                <c:pt idx="148">
                  <c:v>11.76470588235294</c:v>
                </c:pt>
                <c:pt idx="149">
                  <c:v>4.7619047619047619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409-4530-8A82-42323400C0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40471120"/>
        <c:axId val="1940472368"/>
      </c:lineChart>
      <c:catAx>
        <c:axId val="194047112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40472368"/>
        <c:crosses val="autoZero"/>
        <c:auto val="1"/>
        <c:lblAlgn val="ctr"/>
        <c:lblOffset val="100"/>
        <c:noMultiLvlLbl val="0"/>
      </c:catAx>
      <c:valAx>
        <c:axId val="19404723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404711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Sentiment Weights of FOMC from 2006 to 2023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'Yearly Scores'!$B$1</c:f>
              <c:strCache>
                <c:ptCount val="1"/>
                <c:pt idx="0">
                  <c:v>Mean Positive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cat>
            <c:strRef>
              <c:f>'Yearly Scores'!$A$2:$A$19</c:f>
              <c:strCache>
                <c:ptCount val="18"/>
                <c:pt idx="0">
                  <c:v>2006</c:v>
                </c:pt>
                <c:pt idx="1">
                  <c:v>2007</c:v>
                </c:pt>
                <c:pt idx="2">
                  <c:v>2008</c:v>
                </c:pt>
                <c:pt idx="3">
                  <c:v>2009</c:v>
                </c:pt>
                <c:pt idx="4">
                  <c:v>2010</c:v>
                </c:pt>
                <c:pt idx="5">
                  <c:v>2011</c:v>
                </c:pt>
                <c:pt idx="6">
                  <c:v>2012</c:v>
                </c:pt>
                <c:pt idx="7">
                  <c:v>2013</c:v>
                </c:pt>
                <c:pt idx="8">
                  <c:v>2014</c:v>
                </c:pt>
                <c:pt idx="9">
                  <c:v>2015</c:v>
                </c:pt>
                <c:pt idx="10">
                  <c:v>2016</c:v>
                </c:pt>
                <c:pt idx="11">
                  <c:v>2017</c:v>
                </c:pt>
                <c:pt idx="12">
                  <c:v>2018</c:v>
                </c:pt>
                <c:pt idx="13">
                  <c:v>2019</c:v>
                </c:pt>
                <c:pt idx="14">
                  <c:v>2020</c:v>
                </c:pt>
                <c:pt idx="15">
                  <c:v>2021</c:v>
                </c:pt>
                <c:pt idx="16">
                  <c:v>2022</c:v>
                </c:pt>
                <c:pt idx="17">
                  <c:v>2023</c:v>
                </c:pt>
              </c:strCache>
            </c:strRef>
          </c:cat>
          <c:val>
            <c:numRef>
              <c:f>'Yearly Scores'!$B$2:$B$19</c:f>
              <c:numCache>
                <c:formatCode>General</c:formatCode>
                <c:ptCount val="18"/>
                <c:pt idx="0">
                  <c:v>57.142857142857139</c:v>
                </c:pt>
                <c:pt idx="1">
                  <c:v>100</c:v>
                </c:pt>
                <c:pt idx="2">
                  <c:v>74.418604651162795</c:v>
                </c:pt>
                <c:pt idx="3">
                  <c:v>62.5</c:v>
                </c:pt>
                <c:pt idx="4">
                  <c:v>81.818181818181827</c:v>
                </c:pt>
                <c:pt idx="5">
                  <c:v>46.666666666666657</c:v>
                </c:pt>
                <c:pt idx="6">
                  <c:v>42.857142857142847</c:v>
                </c:pt>
                <c:pt idx="7">
                  <c:v>40</c:v>
                </c:pt>
                <c:pt idx="8">
                  <c:v>44.444444444444443</c:v>
                </c:pt>
                <c:pt idx="9">
                  <c:v>47.619047619047613</c:v>
                </c:pt>
                <c:pt idx="10">
                  <c:v>56.521739130434781</c:v>
                </c:pt>
                <c:pt idx="11">
                  <c:v>57.142857142857139</c:v>
                </c:pt>
                <c:pt idx="12">
                  <c:v>64.285714285714292</c:v>
                </c:pt>
                <c:pt idx="13">
                  <c:v>88.235294117647058</c:v>
                </c:pt>
                <c:pt idx="14">
                  <c:v>97.058823529411768</c:v>
                </c:pt>
                <c:pt idx="15">
                  <c:v>69.230769230769226</c:v>
                </c:pt>
                <c:pt idx="16">
                  <c:v>60</c:v>
                </c:pt>
                <c:pt idx="17">
                  <c:v>76.19047619047619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CD1-4B92-AF28-52960E5902C4}"/>
            </c:ext>
          </c:extLst>
        </c:ser>
        <c:ser>
          <c:idx val="1"/>
          <c:order val="1"/>
          <c:tx>
            <c:strRef>
              <c:f>'Yearly Scores'!$C$1</c:f>
              <c:strCache>
                <c:ptCount val="1"/>
                <c:pt idx="0">
                  <c:v>Mean Negative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'Yearly Scores'!$A$2:$A$19</c:f>
              <c:strCache>
                <c:ptCount val="18"/>
                <c:pt idx="0">
                  <c:v>2006</c:v>
                </c:pt>
                <c:pt idx="1">
                  <c:v>2007</c:v>
                </c:pt>
                <c:pt idx="2">
                  <c:v>2008</c:v>
                </c:pt>
                <c:pt idx="3">
                  <c:v>2009</c:v>
                </c:pt>
                <c:pt idx="4">
                  <c:v>2010</c:v>
                </c:pt>
                <c:pt idx="5">
                  <c:v>2011</c:v>
                </c:pt>
                <c:pt idx="6">
                  <c:v>2012</c:v>
                </c:pt>
                <c:pt idx="7">
                  <c:v>2013</c:v>
                </c:pt>
                <c:pt idx="8">
                  <c:v>2014</c:v>
                </c:pt>
                <c:pt idx="9">
                  <c:v>2015</c:v>
                </c:pt>
                <c:pt idx="10">
                  <c:v>2016</c:v>
                </c:pt>
                <c:pt idx="11">
                  <c:v>2017</c:v>
                </c:pt>
                <c:pt idx="12">
                  <c:v>2018</c:v>
                </c:pt>
                <c:pt idx="13">
                  <c:v>2019</c:v>
                </c:pt>
                <c:pt idx="14">
                  <c:v>2020</c:v>
                </c:pt>
                <c:pt idx="15">
                  <c:v>2021</c:v>
                </c:pt>
                <c:pt idx="16">
                  <c:v>2022</c:v>
                </c:pt>
                <c:pt idx="17">
                  <c:v>2023</c:v>
                </c:pt>
              </c:strCache>
            </c:strRef>
          </c:cat>
          <c:val>
            <c:numRef>
              <c:f>'Yearly Scores'!$C$2:$C$19</c:f>
              <c:numCache>
                <c:formatCode>General</c:formatCode>
                <c:ptCount val="18"/>
                <c:pt idx="0">
                  <c:v>50</c:v>
                </c:pt>
                <c:pt idx="1">
                  <c:v>50</c:v>
                </c:pt>
                <c:pt idx="2">
                  <c:v>40</c:v>
                </c:pt>
                <c:pt idx="3">
                  <c:v>33.333333333333329</c:v>
                </c:pt>
                <c:pt idx="4">
                  <c:v>42.857142857142847</c:v>
                </c:pt>
                <c:pt idx="5">
                  <c:v>47.058823529411761</c:v>
                </c:pt>
                <c:pt idx="6">
                  <c:v>52.941176470588239</c:v>
                </c:pt>
                <c:pt idx="7">
                  <c:v>57.142857142857139</c:v>
                </c:pt>
                <c:pt idx="8">
                  <c:v>60</c:v>
                </c:pt>
                <c:pt idx="9">
                  <c:v>60</c:v>
                </c:pt>
                <c:pt idx="10">
                  <c:v>50</c:v>
                </c:pt>
                <c:pt idx="11">
                  <c:v>42.857142857142847</c:v>
                </c:pt>
                <c:pt idx="12">
                  <c:v>46.666666666666657</c:v>
                </c:pt>
                <c:pt idx="13">
                  <c:v>42.857142857142847</c:v>
                </c:pt>
                <c:pt idx="14">
                  <c:v>29.62962962962963</c:v>
                </c:pt>
                <c:pt idx="15">
                  <c:v>33.333333333333329</c:v>
                </c:pt>
                <c:pt idx="16">
                  <c:v>36.363636363636367</c:v>
                </c:pt>
                <c:pt idx="17">
                  <c:v>29.411764705882359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CD1-4B92-AF28-52960E5902C4}"/>
            </c:ext>
          </c:extLst>
        </c:ser>
        <c:ser>
          <c:idx val="2"/>
          <c:order val="2"/>
          <c:tx>
            <c:strRef>
              <c:f>'Yearly Scores'!$D$1</c:f>
              <c:strCache>
                <c:ptCount val="1"/>
                <c:pt idx="0">
                  <c:v>Mean Neutral</c:v>
                </c:pt>
              </c:strCache>
            </c:strRef>
          </c:tx>
          <c:spPr>
            <a:solidFill>
              <a:srgbClr val="00B0F0"/>
            </a:solidFill>
            <a:ln>
              <a:noFill/>
            </a:ln>
            <a:effectLst/>
          </c:spPr>
          <c:invertIfNegative val="0"/>
          <c:cat>
            <c:strRef>
              <c:f>'Yearly Scores'!$A$2:$A$19</c:f>
              <c:strCache>
                <c:ptCount val="18"/>
                <c:pt idx="0">
                  <c:v>2006</c:v>
                </c:pt>
                <c:pt idx="1">
                  <c:v>2007</c:v>
                </c:pt>
                <c:pt idx="2">
                  <c:v>2008</c:v>
                </c:pt>
                <c:pt idx="3">
                  <c:v>2009</c:v>
                </c:pt>
                <c:pt idx="4">
                  <c:v>2010</c:v>
                </c:pt>
                <c:pt idx="5">
                  <c:v>2011</c:v>
                </c:pt>
                <c:pt idx="6">
                  <c:v>2012</c:v>
                </c:pt>
                <c:pt idx="7">
                  <c:v>2013</c:v>
                </c:pt>
                <c:pt idx="8">
                  <c:v>2014</c:v>
                </c:pt>
                <c:pt idx="9">
                  <c:v>2015</c:v>
                </c:pt>
                <c:pt idx="10">
                  <c:v>2016</c:v>
                </c:pt>
                <c:pt idx="11">
                  <c:v>2017</c:v>
                </c:pt>
                <c:pt idx="12">
                  <c:v>2018</c:v>
                </c:pt>
                <c:pt idx="13">
                  <c:v>2019</c:v>
                </c:pt>
                <c:pt idx="14">
                  <c:v>2020</c:v>
                </c:pt>
                <c:pt idx="15">
                  <c:v>2021</c:v>
                </c:pt>
                <c:pt idx="16">
                  <c:v>2022</c:v>
                </c:pt>
                <c:pt idx="17">
                  <c:v>2023</c:v>
                </c:pt>
              </c:strCache>
            </c:strRef>
          </c:cat>
          <c:val>
            <c:numRef>
              <c:f>'Yearly Scores'!$D$2:$D$19</c:f>
              <c:numCache>
                <c:formatCode>General</c:formatCode>
                <c:ptCount val="18"/>
                <c:pt idx="0">
                  <c:v>33.333333333333329</c:v>
                </c:pt>
                <c:pt idx="1">
                  <c:v>33.333333333333329</c:v>
                </c:pt>
                <c:pt idx="2">
                  <c:v>45.454545454545453</c:v>
                </c:pt>
                <c:pt idx="3">
                  <c:v>35.294117647058833</c:v>
                </c:pt>
                <c:pt idx="4">
                  <c:v>33.333333333333329</c:v>
                </c:pt>
                <c:pt idx="5">
                  <c:v>26.666666666666671</c:v>
                </c:pt>
                <c:pt idx="6">
                  <c:v>28.571428571428569</c:v>
                </c:pt>
                <c:pt idx="7">
                  <c:v>15</c:v>
                </c:pt>
                <c:pt idx="8">
                  <c:v>16.666666666666661</c:v>
                </c:pt>
                <c:pt idx="9">
                  <c:v>19.047619047619051</c:v>
                </c:pt>
                <c:pt idx="10">
                  <c:v>18.18181818181818</c:v>
                </c:pt>
                <c:pt idx="11">
                  <c:v>18.18181818181818</c:v>
                </c:pt>
                <c:pt idx="12">
                  <c:v>5.5555555555555554</c:v>
                </c:pt>
                <c:pt idx="13">
                  <c:v>28.571428571428569</c:v>
                </c:pt>
                <c:pt idx="14">
                  <c:v>23.80952380952381</c:v>
                </c:pt>
                <c:pt idx="15">
                  <c:v>13.043478260869559</c:v>
                </c:pt>
                <c:pt idx="16">
                  <c:v>31.25</c:v>
                </c:pt>
                <c:pt idx="17">
                  <c:v>11.76470588235294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CD1-4B92-AF28-52960E5902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98279488"/>
        <c:axId val="1998271584"/>
      </c:barChart>
      <c:catAx>
        <c:axId val="19982794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8271584"/>
        <c:crosses val="autoZero"/>
        <c:auto val="1"/>
        <c:lblAlgn val="ctr"/>
        <c:lblOffset val="100"/>
        <c:noMultiLvlLbl val="0"/>
      </c:catAx>
      <c:valAx>
        <c:axId val="1998271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82794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Frequency of word "Inflation"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'work 2'!$D$26:$E$54</c:f>
              <c:multiLvlStrCache>
                <c:ptCount val="29"/>
                <c:lvl>
                  <c:pt idx="0">
                    <c:v>Jan</c:v>
                  </c:pt>
                  <c:pt idx="1">
                    <c:v>Mar</c:v>
                  </c:pt>
                  <c:pt idx="2">
                    <c:v>Apr</c:v>
                  </c:pt>
                  <c:pt idx="3">
                    <c:v>Jun</c:v>
                  </c:pt>
                  <c:pt idx="4">
                    <c:v>Jul</c:v>
                  </c:pt>
                  <c:pt idx="5">
                    <c:v>Sep</c:v>
                  </c:pt>
                  <c:pt idx="6">
                    <c:v>Nov</c:v>
                  </c:pt>
                  <c:pt idx="7">
                    <c:v>Dec</c:v>
                  </c:pt>
                  <c:pt idx="8">
                    <c:v>Jan</c:v>
                  </c:pt>
                  <c:pt idx="9">
                    <c:v>Mar</c:v>
                  </c:pt>
                  <c:pt idx="10">
                    <c:v>Apr</c:v>
                  </c:pt>
                  <c:pt idx="11">
                    <c:v>Jun</c:v>
                  </c:pt>
                  <c:pt idx="12">
                    <c:v>Jul</c:v>
                  </c:pt>
                  <c:pt idx="13">
                    <c:v>Sep</c:v>
                  </c:pt>
                  <c:pt idx="14">
                    <c:v>Nov</c:v>
                  </c:pt>
                  <c:pt idx="15">
                    <c:v>Dec</c:v>
                  </c:pt>
                  <c:pt idx="16">
                    <c:v>Jan</c:v>
                  </c:pt>
                  <c:pt idx="17">
                    <c:v>Mar</c:v>
                  </c:pt>
                  <c:pt idx="18">
                    <c:v>May</c:v>
                  </c:pt>
                  <c:pt idx="19">
                    <c:v>Jun</c:v>
                  </c:pt>
                  <c:pt idx="20">
                    <c:v>Jul</c:v>
                  </c:pt>
                  <c:pt idx="21">
                    <c:v>Sep</c:v>
                  </c:pt>
                  <c:pt idx="22">
                    <c:v>Nov</c:v>
                  </c:pt>
                  <c:pt idx="23">
                    <c:v>Dec</c:v>
                  </c:pt>
                  <c:pt idx="24">
                    <c:v>Feb</c:v>
                  </c:pt>
                  <c:pt idx="25">
                    <c:v>Mar</c:v>
                  </c:pt>
                  <c:pt idx="26">
                    <c:v>May</c:v>
                  </c:pt>
                  <c:pt idx="27">
                    <c:v>Jun</c:v>
                  </c:pt>
                  <c:pt idx="28">
                    <c:v>Jul</c:v>
                  </c:pt>
                </c:lvl>
                <c:lvl>
                  <c:pt idx="0">
                    <c:v>2020</c:v>
                  </c:pt>
                  <c:pt idx="8">
                    <c:v>2021</c:v>
                  </c:pt>
                  <c:pt idx="16">
                    <c:v>2022</c:v>
                  </c:pt>
                  <c:pt idx="24">
                    <c:v>2023</c:v>
                  </c:pt>
                </c:lvl>
              </c:multiLvlStrCache>
            </c:multiLvlStrRef>
          </c:cat>
          <c:val>
            <c:numRef>
              <c:f>'work 2'!$F$26:$F$54</c:f>
              <c:numCache>
                <c:formatCode>General</c:formatCode>
                <c:ptCount val="29"/>
                <c:pt idx="0">
                  <c:v>9</c:v>
                </c:pt>
                <c:pt idx="1">
                  <c:v>9</c:v>
                </c:pt>
                <c:pt idx="2">
                  <c:v>6</c:v>
                </c:pt>
                <c:pt idx="3">
                  <c:v>6</c:v>
                </c:pt>
                <c:pt idx="4">
                  <c:v>6</c:v>
                </c:pt>
                <c:pt idx="5">
                  <c:v>11</c:v>
                </c:pt>
                <c:pt idx="6">
                  <c:v>10</c:v>
                </c:pt>
                <c:pt idx="7">
                  <c:v>10</c:v>
                </c:pt>
                <c:pt idx="8">
                  <c:v>10</c:v>
                </c:pt>
                <c:pt idx="9">
                  <c:v>10</c:v>
                </c:pt>
                <c:pt idx="10">
                  <c:v>9</c:v>
                </c:pt>
                <c:pt idx="11">
                  <c:v>9</c:v>
                </c:pt>
                <c:pt idx="12">
                  <c:v>9</c:v>
                </c:pt>
                <c:pt idx="13">
                  <c:v>9</c:v>
                </c:pt>
                <c:pt idx="14">
                  <c:v>10</c:v>
                </c:pt>
                <c:pt idx="15">
                  <c:v>7</c:v>
                </c:pt>
                <c:pt idx="16">
                  <c:v>6</c:v>
                </c:pt>
                <c:pt idx="17">
                  <c:v>6</c:v>
                </c:pt>
                <c:pt idx="18">
                  <c:v>7</c:v>
                </c:pt>
                <c:pt idx="19">
                  <c:v>7</c:v>
                </c:pt>
                <c:pt idx="20">
                  <c:v>7</c:v>
                </c:pt>
                <c:pt idx="21">
                  <c:v>7</c:v>
                </c:pt>
                <c:pt idx="22">
                  <c:v>9</c:v>
                </c:pt>
                <c:pt idx="23">
                  <c:v>9</c:v>
                </c:pt>
                <c:pt idx="24">
                  <c:v>8</c:v>
                </c:pt>
                <c:pt idx="25">
                  <c:v>9</c:v>
                </c:pt>
                <c:pt idx="26">
                  <c:v>9</c:v>
                </c:pt>
                <c:pt idx="27">
                  <c:v>9</c:v>
                </c:pt>
                <c:pt idx="28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A9-4CFB-8C86-0A175F6D79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230674223"/>
        <c:axId val="230665487"/>
      </c:barChart>
      <c:catAx>
        <c:axId val="23067422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30665487"/>
        <c:crosses val="autoZero"/>
        <c:auto val="1"/>
        <c:lblAlgn val="ctr"/>
        <c:lblOffset val="100"/>
        <c:noMultiLvlLbl val="0"/>
      </c:catAx>
      <c:valAx>
        <c:axId val="23066548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306742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248IcNkTwXfQAapdh0vV5HLagQ==">CgMxLjAyCGguZ2pkZ3hzOAByITF0T1MyZGpFTFc3enNwNUlCWVBUcjlaaDN6dG9WMmpjTg==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2023-09-05T04:17:00Z</dcterms:created>
  <dc:creator>SASTRA</dc:creator>
</cp:coreProperties>
</file>