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72A17" w:rsidR="00AE1E21" w:rsidP="00D72A17" w:rsidRDefault="005E41BC" w14:paraId="1A9E57FA" w14:textId="251AC8AD">
      <w:pPr>
        <w:spacing w:line="276" w:lineRule="auto"/>
        <w:jc w:val="center"/>
        <w:rPr>
          <w:rFonts w:ascii="Times New Roman" w:hAnsi="Times New Roman" w:cs="Times New Roman"/>
          <w:b/>
          <w:bCs/>
          <w:sz w:val="28"/>
          <w:szCs w:val="28"/>
          <w:lang w:val="en-US"/>
        </w:rPr>
      </w:pPr>
      <w:r w:rsidRPr="00D72A17">
        <w:rPr>
          <w:rFonts w:ascii="Times New Roman" w:hAnsi="Times New Roman" w:cs="Times New Roman"/>
          <w:b/>
          <w:bCs/>
          <w:sz w:val="28"/>
          <w:szCs w:val="28"/>
          <w:lang w:val="en-US"/>
        </w:rPr>
        <w:t>Content Management in Health Care: Automating the Translation of Written Policy into Computable Rules</w:t>
      </w:r>
    </w:p>
    <w:p w:rsidRPr="004A2C90" w:rsidR="005E41BC" w:rsidP="00DD6106" w:rsidRDefault="005E41BC" w14:paraId="54BE3C3E" w14:textId="518B8DB9">
      <w:pPr>
        <w:spacing w:line="276" w:lineRule="auto"/>
        <w:jc w:val="center"/>
        <w:rPr>
          <w:rFonts w:ascii="Times New Roman" w:hAnsi="Times New Roman" w:cs="Times New Roman"/>
          <w:lang w:val="en-US"/>
        </w:rPr>
      </w:pPr>
      <w:r w:rsidRPr="004A2C90">
        <w:rPr>
          <w:rFonts w:ascii="Times New Roman" w:hAnsi="Times New Roman" w:cs="Times New Roman"/>
          <w:lang w:val="en-US"/>
        </w:rPr>
        <w:t xml:space="preserve">Rajaraman Rajagopalan | SUNY Binghamton | Applied for GenAI Intern | </w:t>
      </w:r>
      <w:r w:rsidR="00B03005">
        <w:rPr>
          <w:rFonts w:ascii="Times New Roman" w:hAnsi="Times New Roman" w:cs="Times New Roman"/>
          <w:lang w:val="en-US"/>
        </w:rPr>
        <w:t>1</w:t>
      </w:r>
      <w:r w:rsidR="003B6EC8">
        <w:rPr>
          <w:rFonts w:ascii="Times New Roman" w:hAnsi="Times New Roman" w:cs="Times New Roman"/>
          <w:lang w:val="en-US"/>
        </w:rPr>
        <w:t>1</w:t>
      </w:r>
      <w:r w:rsidRPr="004A2C90">
        <w:rPr>
          <w:rFonts w:ascii="Times New Roman" w:hAnsi="Times New Roman" w:cs="Times New Roman"/>
          <w:vertAlign w:val="superscript"/>
          <w:lang w:val="en-US"/>
        </w:rPr>
        <w:t>th</w:t>
      </w:r>
      <w:r w:rsidRPr="004A2C90">
        <w:rPr>
          <w:rFonts w:ascii="Times New Roman" w:hAnsi="Times New Roman" w:cs="Times New Roman"/>
          <w:lang w:val="en-US"/>
        </w:rPr>
        <w:t xml:space="preserve"> Aug 2026</w:t>
      </w:r>
    </w:p>
    <w:p w:rsidRPr="00A936F5" w:rsidR="00CA3B21" w:rsidP="00CA23BA" w:rsidRDefault="005E41BC" w14:paraId="5ED5AD93" w14:textId="77777777">
      <w:pPr>
        <w:spacing w:line="276" w:lineRule="auto"/>
        <w:rPr>
          <w:rFonts w:ascii="Times New Roman" w:hAnsi="Times New Roman" w:cs="Times New Roman"/>
          <w:b/>
          <w:bCs/>
          <w:lang w:val="en-US"/>
        </w:rPr>
      </w:pPr>
      <w:r w:rsidRPr="00A936F5">
        <w:rPr>
          <w:rFonts w:ascii="Times New Roman" w:hAnsi="Times New Roman" w:cs="Times New Roman"/>
          <w:b/>
          <w:bCs/>
          <w:lang w:val="en-US"/>
        </w:rPr>
        <w:t>Concept Definition</w:t>
      </w:r>
    </w:p>
    <w:p w:rsidR="005E41BC" w:rsidP="00CA23BA" w:rsidRDefault="00CA3B21" w14:paraId="69DCE630" w14:textId="5AD9566E">
      <w:pPr>
        <w:spacing w:line="276" w:lineRule="auto"/>
        <w:rPr>
          <w:rFonts w:ascii="Times New Roman" w:hAnsi="Times New Roman" w:cs="Times New Roman"/>
        </w:rPr>
      </w:pPr>
      <w:r w:rsidRPr="00A936F5">
        <w:rPr>
          <w:rFonts w:ascii="Times New Roman" w:hAnsi="Times New Roman" w:cs="Times New Roman"/>
        </w:rPr>
        <w:t>Content management in health care is essentially about how payers and providers manage the large amount of written information that guides both patient care and payment decisions. This includes billing and coding policies, clinical practice guidelines, and contracts between payers and providers. One of the biggest challenges is that these policies are usually written in plain language for people to read, while the actual decisions often need to be carried out by software across millions of claims. Researchers describe this process as a maturity ladder, starting with narrative text (L1), moving to semi-structured logic (L2), then to structured, machine-readable information (L3), and finally to executable rules used in production systems (L4) (Matson-Koffman et al., 2023). Moving a policy through these stages involves interpreting the original text, identifying the important rules and conditions, comparing different versions, and eventually turning the policy into logic that a computer can use. In payment integrity, for example, CMS publishes guidance such as the National Correct Coding Initiative, which explains in written form how certain coding edits should affect whether a claim line is payable (Centers for Medicare &amp; Medicaid Services [CMS], 2025). Converting this type of guidance into accurate and traceable software rules is still largely a manual process, which makes it time-consuming and harder to maintain whenever policies change.</w:t>
      </w:r>
    </w:p>
    <w:p w:rsidRPr="00E340C2" w:rsidR="00587EC9" w:rsidP="00CA23BA" w:rsidRDefault="00587EC9" w14:paraId="58DA6D4E" w14:textId="3065526C">
      <w:pPr>
        <w:spacing w:line="276" w:lineRule="auto"/>
        <w:rPr>
          <w:rFonts w:ascii="Times New Roman" w:hAnsi="Times New Roman" w:cs="Times New Roman"/>
          <w:b/>
          <w:bCs/>
        </w:rPr>
      </w:pPr>
      <w:r w:rsidRPr="00E340C2">
        <w:rPr>
          <w:rFonts w:ascii="Times New Roman" w:hAnsi="Times New Roman" w:cs="Times New Roman"/>
          <w:b/>
          <w:bCs/>
        </w:rPr>
        <w:t>Relevant Trends</w:t>
      </w:r>
    </w:p>
    <w:p w:rsidRPr="00524CC6" w:rsidR="00524CC6" w:rsidP="00524CC6" w:rsidRDefault="00524CC6" w14:paraId="1F62CA1B" w14:textId="060BEE5A">
      <w:pPr>
        <w:spacing w:line="276" w:lineRule="auto"/>
        <w:rPr>
          <w:rFonts w:ascii="Times New Roman" w:hAnsi="Times New Roman" w:cs="Times New Roman"/>
        </w:rPr>
      </w:pPr>
      <w:r w:rsidRPr="00524CC6">
        <w:rPr>
          <w:rFonts w:ascii="Times New Roman" w:hAnsi="Times New Roman" w:cs="Times New Roman"/>
        </w:rPr>
        <w:t>This challenge is becoming urgent as three trends converge. Generative AI has transitioned from experimentation to the mainstream. In a late 2024 survey of 150 U.S. healthcare leaders, 85% were exploring or had already adopted the technology (McKinsey &amp; Company, 2025). Second, adoption is focused on administrative and revenue-cycle work. By 2025, over 30% of providers were prioritizing AI across multiple revenue-cycle use cases, but most of the implementations are narrow point solutions from third-party vendors (McKinsey &amp;</w:t>
      </w:r>
      <w:r>
        <w:rPr>
          <w:rFonts w:ascii="Times New Roman" w:hAnsi="Times New Roman" w:cs="Times New Roman"/>
        </w:rPr>
        <w:t xml:space="preserve"> </w:t>
      </w:r>
      <w:r w:rsidRPr="00524CC6">
        <w:rPr>
          <w:rFonts w:ascii="Times New Roman" w:hAnsi="Times New Roman" w:cs="Times New Roman"/>
        </w:rPr>
        <w:t>Company, 2026). Third, competitors are addressing payment integrity directly: for example, HealthEdge and Codoxo have teamed up to provide a hybrid of prospective claim editing and a generative-AI cost-containment platform that includes medical-policy and provider-contract compliance (HealthEdge &amp; Codoxo, 2024). Crucially, language models can perform well at coding tasks when properly grounded: a NEJM AI study found that a retrieval-augmented model was "almost twice as accurate as clinicians at emergency-department diagnosis coding," with its authors stressing that the aim is "to assist, not to replace" (Klang et al., 2025).</w:t>
      </w:r>
    </w:p>
    <w:p w:rsidRPr="00E340C2" w:rsidR="00D84339" w:rsidP="00CA23BA" w:rsidRDefault="00D84339" w14:paraId="4F41B9D9" w14:textId="3F41E0F6">
      <w:pPr>
        <w:spacing w:line="276" w:lineRule="auto"/>
        <w:rPr>
          <w:rFonts w:ascii="Times New Roman" w:hAnsi="Times New Roman" w:cs="Times New Roman"/>
          <w:b/>
          <w:bCs/>
        </w:rPr>
      </w:pPr>
      <w:r w:rsidRPr="00E340C2">
        <w:rPr>
          <w:rFonts w:ascii="Times New Roman" w:hAnsi="Times New Roman" w:cs="Times New Roman"/>
          <w:b/>
          <w:bCs/>
        </w:rPr>
        <w:t>Opportunities</w:t>
      </w:r>
    </w:p>
    <w:p w:rsidRPr="002B78EA" w:rsidR="002B78EA" w:rsidP="002B78EA" w:rsidRDefault="002B78EA" w14:paraId="724A05DF" w14:textId="23BD4585">
      <w:pPr>
        <w:spacing w:line="276" w:lineRule="auto"/>
        <w:rPr>
          <w:rFonts w:ascii="Times New Roman" w:hAnsi="Times New Roman" w:cs="Times New Roman"/>
        </w:rPr>
      </w:pPr>
      <w:r w:rsidRPr="002B78EA">
        <w:rPr>
          <w:rFonts w:ascii="Times New Roman" w:hAnsi="Times New Roman" w:cs="Times New Roman"/>
        </w:rPr>
        <w:t xml:space="preserve">These trends represent clear opportunities for Cotiviti, whose core business is payment accuracy. By automating the L1-to-L4 translation, the time lag between a policy going from published to implemented will be reduced, and new or revised edits can be deployed in days rather than weeks. A structured pipeline also helps with ongoing management of policy </w:t>
      </w:r>
      <w:r w:rsidRPr="002B78EA">
        <w:rPr>
          <w:rFonts w:ascii="Times New Roman" w:hAnsi="Times New Roman" w:cs="Times New Roman"/>
        </w:rPr>
        <w:lastRenderedPageBreak/>
        <w:t xml:space="preserve">changes: if a source policy changes, the system can diff the versions, summarize the changes, and estimate the impact on claim-flagging before deployment </w:t>
      </w:r>
      <w:r>
        <w:rPr>
          <w:rFonts w:ascii="Times New Roman" w:hAnsi="Times New Roman" w:cs="Times New Roman"/>
        </w:rPr>
        <w:t>-</w:t>
      </w:r>
      <w:r w:rsidRPr="002B78EA">
        <w:rPr>
          <w:rFonts w:ascii="Times New Roman" w:hAnsi="Times New Roman" w:cs="Times New Roman"/>
        </w:rPr>
        <w:t xml:space="preserve"> addressing the "summarization" and "comparison of content changes" needs that are core to this topic. Since computable logic can be described by existing standards of interoperability, this feature is portable between payer clients rather than locked to a specific one. Finally, Cotiviti can front-load edits in prospective, pre-payment review to help reduce costly post-payment recoveries and the resulting provider abrasion.</w:t>
      </w:r>
    </w:p>
    <w:p w:rsidRPr="00B9011F" w:rsidR="00E340C2" w:rsidP="00CA23BA" w:rsidRDefault="00E340C2" w14:paraId="5C3B931E" w14:textId="5EACE158">
      <w:pPr>
        <w:spacing w:line="276" w:lineRule="auto"/>
        <w:rPr>
          <w:rFonts w:ascii="Times New Roman" w:hAnsi="Times New Roman" w:cs="Times New Roman"/>
          <w:b/>
          <w:bCs/>
        </w:rPr>
      </w:pPr>
      <w:r w:rsidRPr="00B9011F">
        <w:rPr>
          <w:rFonts w:ascii="Times New Roman" w:hAnsi="Times New Roman" w:cs="Times New Roman"/>
          <w:b/>
          <w:bCs/>
        </w:rPr>
        <w:t>Threats</w:t>
      </w:r>
    </w:p>
    <w:p w:rsidRPr="005D5E35" w:rsidR="005D5E35" w:rsidP="005D5E35" w:rsidRDefault="005D5E35" w14:paraId="2A509486" w14:textId="77777777">
      <w:pPr>
        <w:spacing w:line="276" w:lineRule="auto"/>
        <w:rPr>
          <w:rFonts w:ascii="Times New Roman" w:hAnsi="Times New Roman" w:cs="Times New Roman"/>
        </w:rPr>
      </w:pPr>
      <w:r w:rsidRPr="005D5E35">
        <w:rPr>
          <w:rFonts w:ascii="Times New Roman" w:hAnsi="Times New Roman" w:cs="Times New Roman"/>
        </w:rPr>
        <w:t>Real risks arise from the same technology. Language models hallucinate and can produce inaccurate outputs when ungrounded (Klang et al., 2025), which is unacceptable when a wrong edit denies a legitimate claim or misses a genuine overpayment. There is also no standard evaluation for health-care AI applications. A systematic review in JAMA found testing practices were inconsistent and called for rigorous, transparent assessment before clinical or operational deployment (Bedi et al., 2024). Payment decisions must be explainable and auditable for regulators, clients, and provider appeals; an opaque model output cannot, by itself, justify a denial. And over-flagging leads to false positives, administrative cost, and provider friction, so precision is as important as coverage. A responsible deployment must therefore constrain where the model is allowed to act.</w:t>
      </w:r>
    </w:p>
    <w:p w:rsidRPr="004A2C90" w:rsidR="00075F16" w:rsidP="00CA23BA" w:rsidRDefault="00075F16" w14:paraId="350A3964" w14:textId="723457C7">
      <w:pPr>
        <w:spacing w:line="276" w:lineRule="auto"/>
        <w:rPr>
          <w:rFonts w:ascii="Times New Roman" w:hAnsi="Times New Roman" w:cs="Times New Roman"/>
          <w:b/>
          <w:bCs/>
        </w:rPr>
      </w:pPr>
      <w:r w:rsidRPr="004A2C90">
        <w:rPr>
          <w:rFonts w:ascii="Times New Roman" w:hAnsi="Times New Roman" w:cs="Times New Roman"/>
          <w:b/>
          <w:bCs/>
        </w:rPr>
        <w:t>Recommendation for Cotiviti</w:t>
      </w:r>
    </w:p>
    <w:p w:rsidR="004A2C90" w:rsidP="00CA23BA" w:rsidRDefault="006352E9" w14:paraId="50704E42" w14:textId="3EAB0951">
      <w:pPr>
        <w:spacing w:line="276" w:lineRule="auto"/>
        <w:rPr>
          <w:rFonts w:ascii="Times New Roman" w:hAnsi="Times New Roman" w:cs="Times New Roman"/>
        </w:rPr>
      </w:pPr>
      <w:r w:rsidRPr="006352E9">
        <w:rPr>
          <w:rFonts w:ascii="Times New Roman" w:hAnsi="Times New Roman" w:cs="Times New Roman"/>
        </w:rPr>
        <w:t>Cotiviti should pilot a governed "policy-to-rule" capability that uses AI where it is strong and constrains it where it is risky. In this architecture a language model just does translation, reading a written policy and outputting a structured rule in a fixed, validated vocabulary of fields and operators. A deterministic engine does the actual claim decision, and a subject matter expert signs off on it before production. This "AI proposes, deterministic code disposes, human approves" design tackles the hallucination and auditability threats head-on: each flag is tied to a clear, reproducible condition, not a model's opinion. The pilot should add automated version-diffing to monitor policy changes, build on interoperability standards for portability, and include an evaluation harness aligned with emerging assessment guidance (Bedi et al., 2024). A working prototype accompanying this report illustrates the idea end to end — converting both synthetic and real CMS NCCI billing policy and a USPSTF clinical practice guideline into executable edits, running them against sample claims, and quantifying the impact of a policy change. The investment will enable Cotiviti to convert its deep policy expertise into a defensible, standards-based automation advantage as competitors continue to cobble together point solutions.</w:t>
      </w:r>
    </w:p>
    <w:p w:rsidR="00596F6D" w:rsidP="00CA23BA" w:rsidRDefault="00596F6D" w14:paraId="1CD91463" w14:textId="77777777">
      <w:pPr>
        <w:spacing w:line="276" w:lineRule="auto"/>
        <w:rPr>
          <w:rFonts w:ascii="Times New Roman" w:hAnsi="Times New Roman" w:cs="Times New Roman"/>
        </w:rPr>
      </w:pPr>
    </w:p>
    <w:p w:rsidR="006352E9" w:rsidP="00CA23BA" w:rsidRDefault="006352E9" w14:paraId="59AADC3F" w14:textId="77777777">
      <w:pPr>
        <w:spacing w:line="276" w:lineRule="auto"/>
        <w:rPr>
          <w:rFonts w:ascii="Times New Roman" w:hAnsi="Times New Roman" w:cs="Times New Roman"/>
        </w:rPr>
      </w:pPr>
    </w:p>
    <w:p w:rsidR="00596F6D" w:rsidP="00CA23BA" w:rsidRDefault="00596F6D" w14:paraId="63A5D752" w14:textId="77777777">
      <w:pPr>
        <w:spacing w:line="276" w:lineRule="auto"/>
        <w:rPr>
          <w:rFonts w:ascii="Times New Roman" w:hAnsi="Times New Roman" w:cs="Times New Roman"/>
        </w:rPr>
      </w:pPr>
    </w:p>
    <w:p w:rsidR="00596F6D" w:rsidP="00CA23BA" w:rsidRDefault="00596F6D" w14:paraId="46CADCBE" w14:textId="77777777">
      <w:pPr>
        <w:spacing w:line="276" w:lineRule="auto"/>
        <w:rPr>
          <w:rFonts w:ascii="Times New Roman" w:hAnsi="Times New Roman" w:cs="Times New Roman"/>
        </w:rPr>
      </w:pPr>
    </w:p>
    <w:p w:rsidR="00596F6D" w:rsidP="00CA23BA" w:rsidRDefault="00596F6D" w14:paraId="2A69F45F" w14:textId="77777777">
      <w:pPr>
        <w:spacing w:line="276" w:lineRule="auto"/>
        <w:rPr>
          <w:rFonts w:ascii="Times New Roman" w:hAnsi="Times New Roman" w:cs="Times New Roman"/>
        </w:rPr>
      </w:pPr>
    </w:p>
    <w:p w:rsidRPr="00692778" w:rsidR="00193BA2" w:rsidP="00692778" w:rsidRDefault="00EB78DA" w14:paraId="38ABD3BD" w14:textId="4C91327C">
      <w:pPr>
        <w:spacing w:line="276" w:lineRule="auto"/>
        <w:rPr>
          <w:rFonts w:ascii="Times New Roman" w:hAnsi="Times New Roman" w:cs="Times New Roman"/>
          <w:b/>
          <w:bCs/>
        </w:rPr>
      </w:pPr>
      <w:r w:rsidRPr="00692778">
        <w:rPr>
          <w:rFonts w:ascii="Times New Roman" w:hAnsi="Times New Roman" w:cs="Times New Roman"/>
          <w:b/>
          <w:bCs/>
        </w:rPr>
        <w:lastRenderedPageBreak/>
        <w:t>References</w:t>
      </w:r>
    </w:p>
    <w:p w:rsidRPr="00692778" w:rsidR="00692778" w:rsidP="00692778" w:rsidRDefault="00692778" w14:paraId="775789BA" w14:textId="77777777">
      <w:pPr>
        <w:spacing w:line="276" w:lineRule="auto"/>
        <w:rPr>
          <w:rFonts w:ascii="Times New Roman" w:hAnsi="Times New Roman" w:cs="Times New Roman"/>
        </w:rPr>
      </w:pPr>
      <w:r w:rsidRPr="00692778">
        <w:rPr>
          <w:rFonts w:ascii="Times New Roman" w:hAnsi="Times New Roman" w:cs="Times New Roman"/>
        </w:rPr>
        <w:t xml:space="preserve">Bedi, S., Liu, Y., Orr-Ewing, L., Dash, D., Koyejo, S., Callahan, A., Fries, J. A., Wornow, M., Swaminathan, A., Lehmann, L. S., Hong, H. J., Kashyap, M., Chaurasia, A. R., Shah, N. R., Singh, K., Tazbaz, T., Milstein, A., Pfeffer, M. A., &amp; Shah, N. H. (2024). Testing and evaluation of health care applications of large language models: A systematic review. </w:t>
      </w:r>
      <w:r w:rsidRPr="00692778">
        <w:rPr>
          <w:rFonts w:ascii="Times New Roman" w:hAnsi="Times New Roman" w:cs="Times New Roman"/>
          <w:i/>
          <w:iCs/>
        </w:rPr>
        <w:t>JAMA</w:t>
      </w:r>
      <w:r w:rsidRPr="00692778">
        <w:rPr>
          <w:rFonts w:ascii="Times New Roman" w:hAnsi="Times New Roman" w:cs="Times New Roman"/>
        </w:rPr>
        <w:t xml:space="preserve">. </w:t>
      </w:r>
      <w:hyperlink w:history="1" r:id="rId6">
        <w:r w:rsidRPr="00692778">
          <w:rPr>
            <w:rStyle w:val="Hyperlink"/>
            <w:rFonts w:ascii="Times New Roman" w:hAnsi="Times New Roman" w:cs="Times New Roman"/>
          </w:rPr>
          <w:t>https://doi.org/10.1001/jama.2024.21700</w:t>
        </w:r>
      </w:hyperlink>
    </w:p>
    <w:p w:rsidRPr="00692778" w:rsidR="00692778" w:rsidP="00692778" w:rsidRDefault="00692778" w14:paraId="744B99FB" w14:textId="77777777">
      <w:pPr>
        <w:spacing w:line="276" w:lineRule="auto"/>
        <w:rPr>
          <w:rFonts w:ascii="Times New Roman" w:hAnsi="Times New Roman" w:cs="Times New Roman"/>
        </w:rPr>
      </w:pPr>
      <w:r w:rsidRPr="00692778">
        <w:rPr>
          <w:rFonts w:ascii="Times New Roman" w:hAnsi="Times New Roman" w:cs="Times New Roman"/>
        </w:rPr>
        <w:t xml:space="preserve">Centers for Medicare &amp; Medicaid Services. (2025). </w:t>
      </w:r>
      <w:r w:rsidRPr="00692778">
        <w:rPr>
          <w:rFonts w:ascii="Times New Roman" w:hAnsi="Times New Roman" w:cs="Times New Roman"/>
          <w:i/>
          <w:iCs/>
        </w:rPr>
        <w:t>Medicare National Correct Coding Initiative policy manual (effective January 1, 2026)</w:t>
      </w:r>
      <w:r w:rsidRPr="00692778">
        <w:rPr>
          <w:rFonts w:ascii="Times New Roman" w:hAnsi="Times New Roman" w:cs="Times New Roman"/>
        </w:rPr>
        <w:t xml:space="preserve">. </w:t>
      </w:r>
      <w:hyperlink w:history="1" r:id="rId7">
        <w:r w:rsidRPr="00692778">
          <w:rPr>
            <w:rStyle w:val="Hyperlink"/>
            <w:rFonts w:ascii="Times New Roman" w:hAnsi="Times New Roman" w:cs="Times New Roman"/>
          </w:rPr>
          <w:t>https://www.cms.gov/files/document/2026-ncci-medicare-policy-manual-all-chapters.pdf</w:t>
        </w:r>
      </w:hyperlink>
    </w:p>
    <w:p w:rsidRPr="00692778" w:rsidR="00692778" w:rsidP="00692778" w:rsidRDefault="00692778" w14:paraId="135F3B3B" w14:textId="77777777">
      <w:pPr>
        <w:spacing w:line="276" w:lineRule="auto"/>
        <w:rPr>
          <w:rFonts w:ascii="Times New Roman" w:hAnsi="Times New Roman" w:cs="Times New Roman"/>
        </w:rPr>
      </w:pPr>
      <w:r w:rsidRPr="00692778">
        <w:rPr>
          <w:rFonts w:ascii="Times New Roman" w:hAnsi="Times New Roman" w:cs="Times New Roman"/>
        </w:rPr>
        <w:t xml:space="preserve">HealthEdge &amp; Codoxo. (2024, November 14). </w:t>
      </w:r>
      <w:r w:rsidRPr="00692778">
        <w:rPr>
          <w:rFonts w:ascii="Times New Roman" w:hAnsi="Times New Roman" w:cs="Times New Roman"/>
          <w:i/>
          <w:iCs/>
        </w:rPr>
        <w:t>Transforming payment integrity with generative artificial intelligence (GenAI): HealthEdge and Codoxo announce strategic partnership</w:t>
      </w:r>
      <w:r w:rsidRPr="00692778">
        <w:rPr>
          <w:rFonts w:ascii="Times New Roman" w:hAnsi="Times New Roman" w:cs="Times New Roman"/>
        </w:rPr>
        <w:t xml:space="preserve"> [Press release]. Business Wire. </w:t>
      </w:r>
      <w:hyperlink w:history="1" r:id="rId8">
        <w:r w:rsidRPr="00692778">
          <w:rPr>
            <w:rStyle w:val="Hyperlink"/>
            <w:rFonts w:ascii="Times New Roman" w:hAnsi="Times New Roman" w:cs="Times New Roman"/>
          </w:rPr>
          <w:t>https://www.businesswire.com/news/home/20241114558374/en/</w:t>
        </w:r>
      </w:hyperlink>
    </w:p>
    <w:p w:rsidRPr="00692778" w:rsidR="00692778" w:rsidP="00692778" w:rsidRDefault="00692778" w14:paraId="47700273" w14:textId="77777777">
      <w:pPr>
        <w:spacing w:line="276" w:lineRule="auto"/>
        <w:rPr>
          <w:rFonts w:ascii="Times New Roman" w:hAnsi="Times New Roman" w:cs="Times New Roman"/>
        </w:rPr>
      </w:pPr>
      <w:r w:rsidRPr="00692778">
        <w:rPr>
          <w:rFonts w:ascii="Times New Roman" w:hAnsi="Times New Roman" w:cs="Times New Roman"/>
        </w:rPr>
        <w:t xml:space="preserve">Klang, E., Tessler, I., Apakama, D. U., Abbott, E., Glicksberg, B. S., Arnold, M., Moses, A., Sakhuja, A., Soroush, A., Charney, A. W., Reich, D. L., McGreevy, J., Gavin, N., Carr, B., Freeman, R., &amp; Nadkarni, G. N. (2025). Assessing retrieval-augmented large language models for medical coding. </w:t>
      </w:r>
      <w:r w:rsidRPr="00692778">
        <w:rPr>
          <w:rFonts w:ascii="Times New Roman" w:hAnsi="Times New Roman" w:cs="Times New Roman"/>
          <w:i/>
          <w:iCs/>
        </w:rPr>
        <w:t>NEJM AI, 2</w:t>
      </w:r>
      <w:r w:rsidRPr="00692778">
        <w:rPr>
          <w:rFonts w:ascii="Times New Roman" w:hAnsi="Times New Roman" w:cs="Times New Roman"/>
        </w:rPr>
        <w:t xml:space="preserve">(10). </w:t>
      </w:r>
      <w:hyperlink w:history="1" r:id="rId9">
        <w:r w:rsidRPr="00692778">
          <w:rPr>
            <w:rStyle w:val="Hyperlink"/>
            <w:rFonts w:ascii="Times New Roman" w:hAnsi="Times New Roman" w:cs="Times New Roman"/>
          </w:rPr>
          <w:t>https://doi.org/10.1056/AIcs2401161</w:t>
        </w:r>
      </w:hyperlink>
    </w:p>
    <w:p w:rsidRPr="00692778" w:rsidR="00692778" w:rsidP="00692778" w:rsidRDefault="00692778" w14:paraId="2F1AE293" w14:textId="77777777">
      <w:pPr>
        <w:spacing w:line="276" w:lineRule="auto"/>
        <w:rPr>
          <w:rFonts w:ascii="Times New Roman" w:hAnsi="Times New Roman" w:cs="Times New Roman"/>
        </w:rPr>
      </w:pPr>
      <w:r w:rsidRPr="00692778">
        <w:rPr>
          <w:rFonts w:ascii="Times New Roman" w:hAnsi="Times New Roman" w:cs="Times New Roman"/>
        </w:rPr>
        <w:t xml:space="preserve">Matson-Koffman, D. M., Robinson, S. J., Jakhmola, P., Fochtmann, L. J., Willett, D., Lubin, I. M., Burton, M. M., Tailor, A., Pitts, D. L., Casey, D. E., Opelka, F. G., Mullins, R., Elder, R., &amp; Michaels, M. (2023). An integrated process for co-developing and implementing written and computable clinical practice guidelines. </w:t>
      </w:r>
      <w:r w:rsidRPr="00692778">
        <w:rPr>
          <w:rFonts w:ascii="Times New Roman" w:hAnsi="Times New Roman" w:cs="Times New Roman"/>
          <w:i/>
          <w:iCs/>
        </w:rPr>
        <w:t>American Journal of Medical Quality, 38</w:t>
      </w:r>
      <w:r w:rsidRPr="00692778">
        <w:rPr>
          <w:rFonts w:ascii="Times New Roman" w:hAnsi="Times New Roman" w:cs="Times New Roman"/>
        </w:rPr>
        <w:t xml:space="preserve">(5S), S12–S34. </w:t>
      </w:r>
      <w:hyperlink w:history="1" r:id="rId10">
        <w:r w:rsidRPr="00692778">
          <w:rPr>
            <w:rStyle w:val="Hyperlink"/>
            <w:rFonts w:ascii="Times New Roman" w:hAnsi="Times New Roman" w:cs="Times New Roman"/>
          </w:rPr>
          <w:t>https://doi.org/10.1097/JMQ.0000000000000137</w:t>
        </w:r>
      </w:hyperlink>
    </w:p>
    <w:p w:rsidRPr="00692778" w:rsidR="00692778" w:rsidP="00692778" w:rsidRDefault="00692778" w14:paraId="3572F15A" w14:textId="77777777">
      <w:pPr>
        <w:spacing w:line="276" w:lineRule="auto"/>
        <w:rPr>
          <w:rFonts w:ascii="Times New Roman" w:hAnsi="Times New Roman" w:cs="Times New Roman"/>
        </w:rPr>
      </w:pPr>
      <w:r w:rsidRPr="00692778">
        <w:rPr>
          <w:rFonts w:ascii="Times New Roman" w:hAnsi="Times New Roman" w:cs="Times New Roman"/>
        </w:rPr>
        <w:t xml:space="preserve">McKinsey &amp; Company. (2025). </w:t>
      </w:r>
      <w:r w:rsidRPr="00692778">
        <w:rPr>
          <w:rFonts w:ascii="Times New Roman" w:hAnsi="Times New Roman" w:cs="Times New Roman"/>
          <w:i/>
          <w:iCs/>
        </w:rPr>
        <w:t>Generative AI in healthcare: Current trends and future outlook</w:t>
      </w:r>
      <w:r w:rsidRPr="00692778">
        <w:rPr>
          <w:rFonts w:ascii="Times New Roman" w:hAnsi="Times New Roman" w:cs="Times New Roman"/>
        </w:rPr>
        <w:t xml:space="preserve">. </w:t>
      </w:r>
      <w:hyperlink w:history="1" r:id="rId11">
        <w:r w:rsidRPr="00692778">
          <w:rPr>
            <w:rStyle w:val="Hyperlink"/>
            <w:rFonts w:ascii="Times New Roman" w:hAnsi="Times New Roman" w:cs="Times New Roman"/>
          </w:rPr>
          <w:t>https://www.mckinsey.com/industries/healthcare/our-insights/generative-ai-in-healthcare-current-trends-and-future-outlook</w:t>
        </w:r>
      </w:hyperlink>
    </w:p>
    <w:p w:rsidRPr="00692778" w:rsidR="00692778" w:rsidP="00692778" w:rsidRDefault="00692778" w14:paraId="15A1DC45" w14:textId="77777777">
      <w:pPr>
        <w:spacing w:line="276" w:lineRule="auto"/>
        <w:rPr>
          <w:rFonts w:ascii="Times New Roman" w:hAnsi="Times New Roman" w:cs="Times New Roman"/>
        </w:rPr>
      </w:pPr>
      <w:r w:rsidRPr="00692778">
        <w:rPr>
          <w:rFonts w:ascii="Times New Roman" w:hAnsi="Times New Roman" w:cs="Times New Roman"/>
        </w:rPr>
        <w:t xml:space="preserve">McKinsey &amp; Company. (2026). </w:t>
      </w:r>
      <w:r w:rsidRPr="00692778">
        <w:rPr>
          <w:rFonts w:ascii="Times New Roman" w:hAnsi="Times New Roman" w:cs="Times New Roman"/>
          <w:i/>
          <w:iCs/>
        </w:rPr>
        <w:t>Agentic AI and the race to a touchless revenue cycle</w:t>
      </w:r>
      <w:r w:rsidRPr="00692778">
        <w:rPr>
          <w:rFonts w:ascii="Times New Roman" w:hAnsi="Times New Roman" w:cs="Times New Roman"/>
        </w:rPr>
        <w:t xml:space="preserve">. </w:t>
      </w:r>
      <w:hyperlink w:history="1" r:id="rId12">
        <w:r w:rsidRPr="00692778">
          <w:rPr>
            <w:rStyle w:val="Hyperlink"/>
            <w:rFonts w:ascii="Times New Roman" w:hAnsi="Times New Roman" w:cs="Times New Roman"/>
          </w:rPr>
          <w:t>https://www.mckinsey.com/industries/healthcare/our-insights/agentic-ai-and-the-race-to-a-touchless-revenue-cycle</w:t>
        </w:r>
      </w:hyperlink>
    </w:p>
    <w:p w:rsidR="004736BB" w:rsidP="00692778" w:rsidRDefault="004736BB" w14:paraId="213A7BD2" w14:textId="70805AEB">
      <w:pPr>
        <w:spacing w:line="276" w:lineRule="auto"/>
        <w:rPr>
          <w:rFonts w:ascii="Times New Roman" w:hAnsi="Times New Roman" w:cs="Times New Roman"/>
        </w:rPr>
      </w:pPr>
      <w:r w:rsidRPr="004736BB">
        <w:rPr>
          <w:rFonts w:ascii="Times New Roman" w:hAnsi="Times New Roman" w:cs="Times New Roman"/>
        </w:rPr>
        <w:t xml:space="preserve">U.S. Preventive Services Task Force. (2021). Final recommendation statement: Screening for colorectal cancer. </w:t>
      </w:r>
      <w:hyperlink w:history="1" r:id="rId13">
        <w:r w:rsidRPr="00056A20">
          <w:rPr>
            <w:rStyle w:val="Hyperlink"/>
            <w:rFonts w:ascii="Times New Roman" w:hAnsi="Times New Roman" w:cs="Times New Roman"/>
          </w:rPr>
          <w:t>https://www.uspreventiveservi</w:t>
        </w:r>
        <w:r w:rsidRPr="00056A20">
          <w:rPr>
            <w:rStyle w:val="Hyperlink"/>
            <w:rFonts w:ascii="Times New Roman" w:hAnsi="Times New Roman" w:cs="Times New Roman"/>
          </w:rPr>
          <w:t>c</w:t>
        </w:r>
        <w:r w:rsidRPr="00056A20">
          <w:rPr>
            <w:rStyle w:val="Hyperlink"/>
            <w:rFonts w:ascii="Times New Roman" w:hAnsi="Times New Roman" w:cs="Times New Roman"/>
          </w:rPr>
          <w:t>estaskforce.org/uspstf/recommendation/colorectal-cancer-screening</w:t>
        </w:r>
      </w:hyperlink>
    </w:p>
    <w:p w:rsidRPr="00692778" w:rsidR="009C5B80" w:rsidP="009C5B80" w:rsidRDefault="009C5B80" w14:paraId="61D874D6" w14:textId="4807204A">
      <w:pPr>
        <w:tabs>
          <w:tab w:val="left" w:pos="3536"/>
        </w:tabs>
        <w:spacing w:line="276" w:lineRule="auto"/>
        <w:rPr>
          <w:rFonts w:ascii="Times New Roman" w:hAnsi="Times New Roman" w:cs="Times New Roman"/>
        </w:rPr>
      </w:pPr>
      <w:r>
        <w:rPr>
          <w:rFonts w:ascii="Times New Roman" w:hAnsi="Times New Roman" w:cs="Times New Roman"/>
        </w:rPr>
        <w:tab/>
      </w:r>
    </w:p>
    <w:sectPr w:rsidRPr="00692778" w:rsidR="009C5B8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2F0110"/>
    <w:multiLevelType w:val="multilevel"/>
    <w:tmpl w:val="DC148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84911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1BC"/>
    <w:rsid w:val="00070D96"/>
    <w:rsid w:val="00075F16"/>
    <w:rsid w:val="001825A3"/>
    <w:rsid w:val="00193BA2"/>
    <w:rsid w:val="002835FD"/>
    <w:rsid w:val="002B78EA"/>
    <w:rsid w:val="003062D0"/>
    <w:rsid w:val="003B6EC8"/>
    <w:rsid w:val="00432AA3"/>
    <w:rsid w:val="004736BB"/>
    <w:rsid w:val="004A2C90"/>
    <w:rsid w:val="004B2523"/>
    <w:rsid w:val="004D2007"/>
    <w:rsid w:val="004F15F3"/>
    <w:rsid w:val="00524CC6"/>
    <w:rsid w:val="00587EC9"/>
    <w:rsid w:val="00596F6D"/>
    <w:rsid w:val="005D5E35"/>
    <w:rsid w:val="005E41BC"/>
    <w:rsid w:val="005E5BFA"/>
    <w:rsid w:val="006352E9"/>
    <w:rsid w:val="00692778"/>
    <w:rsid w:val="00722DC1"/>
    <w:rsid w:val="00786D2C"/>
    <w:rsid w:val="00837C4F"/>
    <w:rsid w:val="00893078"/>
    <w:rsid w:val="009C5B80"/>
    <w:rsid w:val="00A067EC"/>
    <w:rsid w:val="00A77CB1"/>
    <w:rsid w:val="00A936F5"/>
    <w:rsid w:val="00AC353B"/>
    <w:rsid w:val="00AE1E21"/>
    <w:rsid w:val="00B03005"/>
    <w:rsid w:val="00B9011F"/>
    <w:rsid w:val="00BC5A82"/>
    <w:rsid w:val="00CA23BA"/>
    <w:rsid w:val="00CA3B21"/>
    <w:rsid w:val="00D2507A"/>
    <w:rsid w:val="00D72A17"/>
    <w:rsid w:val="00D84339"/>
    <w:rsid w:val="00DD6106"/>
    <w:rsid w:val="00E340C2"/>
    <w:rsid w:val="00EB78DA"/>
    <w:rsid w:val="00F36283"/>
    <w:rsid w:val="00FA7EEE"/>
    <w:rsid w:val="110BBC5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D6373"/>
  <w15:chartTrackingRefBased/>
  <w15:docId w15:val="{EABF0FC3-EA82-4BBA-BF68-B7E809277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E41B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1B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1B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E41B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E41B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E41B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E41B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E41B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E41B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E41B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E41B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E41BC"/>
    <w:rPr>
      <w:rFonts w:eastAsiaTheme="majorEastAsia" w:cstheme="majorBidi"/>
      <w:color w:val="272727" w:themeColor="text1" w:themeTint="D8"/>
    </w:rPr>
  </w:style>
  <w:style w:type="paragraph" w:styleId="Title">
    <w:name w:val="Title"/>
    <w:basedOn w:val="Normal"/>
    <w:next w:val="Normal"/>
    <w:link w:val="TitleChar"/>
    <w:uiPriority w:val="10"/>
    <w:qFormat/>
    <w:rsid w:val="005E41B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E41B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E41B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E4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1BC"/>
    <w:pPr>
      <w:spacing w:before="160"/>
      <w:jc w:val="center"/>
    </w:pPr>
    <w:rPr>
      <w:i/>
      <w:iCs/>
      <w:color w:val="404040" w:themeColor="text1" w:themeTint="BF"/>
    </w:rPr>
  </w:style>
  <w:style w:type="character" w:styleId="QuoteChar" w:customStyle="1">
    <w:name w:val="Quote Char"/>
    <w:basedOn w:val="DefaultParagraphFont"/>
    <w:link w:val="Quote"/>
    <w:uiPriority w:val="29"/>
    <w:rsid w:val="005E41BC"/>
    <w:rPr>
      <w:i/>
      <w:iCs/>
      <w:color w:val="404040" w:themeColor="text1" w:themeTint="BF"/>
    </w:rPr>
  </w:style>
  <w:style w:type="paragraph" w:styleId="ListParagraph">
    <w:name w:val="List Paragraph"/>
    <w:basedOn w:val="Normal"/>
    <w:uiPriority w:val="34"/>
    <w:qFormat/>
    <w:rsid w:val="005E41BC"/>
    <w:pPr>
      <w:ind w:left="720"/>
      <w:contextualSpacing/>
    </w:pPr>
  </w:style>
  <w:style w:type="character" w:styleId="IntenseEmphasis">
    <w:name w:val="Intense Emphasis"/>
    <w:basedOn w:val="DefaultParagraphFont"/>
    <w:uiPriority w:val="21"/>
    <w:qFormat/>
    <w:rsid w:val="005E41BC"/>
    <w:rPr>
      <w:i/>
      <w:iCs/>
      <w:color w:val="0F4761" w:themeColor="accent1" w:themeShade="BF"/>
    </w:rPr>
  </w:style>
  <w:style w:type="paragraph" w:styleId="IntenseQuote">
    <w:name w:val="Intense Quote"/>
    <w:basedOn w:val="Normal"/>
    <w:next w:val="Normal"/>
    <w:link w:val="IntenseQuoteChar"/>
    <w:uiPriority w:val="30"/>
    <w:qFormat/>
    <w:rsid w:val="005E41B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E41BC"/>
    <w:rPr>
      <w:i/>
      <w:iCs/>
      <w:color w:val="0F4761" w:themeColor="accent1" w:themeShade="BF"/>
    </w:rPr>
  </w:style>
  <w:style w:type="character" w:styleId="IntenseReference">
    <w:name w:val="Intense Reference"/>
    <w:basedOn w:val="DefaultParagraphFont"/>
    <w:uiPriority w:val="32"/>
    <w:qFormat/>
    <w:rsid w:val="005E41BC"/>
    <w:rPr>
      <w:b/>
      <w:bCs/>
      <w:smallCaps/>
      <w:color w:val="0F4761" w:themeColor="accent1" w:themeShade="BF"/>
      <w:spacing w:val="5"/>
    </w:rPr>
  </w:style>
  <w:style w:type="character" w:styleId="Hyperlink">
    <w:name w:val="Hyperlink"/>
    <w:basedOn w:val="DefaultParagraphFont"/>
    <w:uiPriority w:val="99"/>
    <w:unhideWhenUsed/>
    <w:rsid w:val="00193BA2"/>
    <w:rPr>
      <w:color w:val="467886" w:themeColor="hyperlink"/>
      <w:u w:val="single"/>
    </w:rPr>
  </w:style>
  <w:style w:type="character" w:styleId="UnresolvedMention">
    <w:name w:val="Unresolved Mention"/>
    <w:basedOn w:val="DefaultParagraphFont"/>
    <w:uiPriority w:val="99"/>
    <w:semiHidden/>
    <w:unhideWhenUsed/>
    <w:rsid w:val="00193BA2"/>
    <w:rPr>
      <w:color w:val="605E5C"/>
      <w:shd w:val="clear" w:color="auto" w:fill="E1DFDD"/>
    </w:rPr>
  </w:style>
  <w:style w:type="character" w:styleId="FollowedHyperlink">
    <w:name w:val="FollowedHyperlink"/>
    <w:basedOn w:val="DefaultParagraphFont"/>
    <w:uiPriority w:val="99"/>
    <w:semiHidden/>
    <w:unhideWhenUsed/>
    <w:rsid w:val="009C5B8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businesswire.com/news/home/20241114558374/en/" TargetMode="External" Id="rId8" /><Relationship Type="http://schemas.openxmlformats.org/officeDocument/2006/relationships/hyperlink" Target="https://www.uspreventiveservicestaskforce.org/uspstf/recommendation/colorectal-cancer-screening" TargetMode="External" Id="rId13" /><Relationship Type="http://schemas.openxmlformats.org/officeDocument/2006/relationships/styles" Target="styles.xml" Id="rId3" /><Relationship Type="http://schemas.openxmlformats.org/officeDocument/2006/relationships/hyperlink" Target="https://www.cms.gov/files/document/2026-ncci-medicare-policy-manual-all-chapters.pdf" TargetMode="External" Id="rId7" /><Relationship Type="http://schemas.openxmlformats.org/officeDocument/2006/relationships/hyperlink" Target="https://www.mckinsey.com/industries/healthcare/our-insights/agentic-ai-and-the-race-to-a-touchless-revenue-cycle" TargetMode="Externa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doi.org/10.1001/jama.2024.21700" TargetMode="External" Id="rId6" /><Relationship Type="http://schemas.openxmlformats.org/officeDocument/2006/relationships/hyperlink" Target="https://www.mckinsey.com/industries/healthcare/our-insights/generative-ai-in-healthcare-current-trends-and-future-outlook" TargetMode="Externa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hyperlink" Target="https://doi.org/10.1097/JMQ.0000000000000137" TargetMode="External" Id="rId10" /><Relationship Type="http://schemas.openxmlformats.org/officeDocument/2006/relationships/settings" Target="settings.xml" Id="rId4" /><Relationship Type="http://schemas.openxmlformats.org/officeDocument/2006/relationships/hyperlink" Target="https://doi.org/10.1056/AIcs2401161" TargetMode="Externa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6F8CB-CD67-4619-A165-A202319A9AC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Rajaraman R</dc:creator>
  <keywords/>
  <dc:description/>
  <lastModifiedBy>Rajaraman R</lastModifiedBy>
  <revision>47</revision>
  <dcterms:created xsi:type="dcterms:W3CDTF">2026-08-08T17:24:00.0000000Z</dcterms:created>
  <dcterms:modified xsi:type="dcterms:W3CDTF">2026-08-12T00:49:57.4830679Z</dcterms:modified>
</coreProperties>
</file>