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2B8E" w14:textId="77777777" w:rsidR="0053076A" w:rsidRDefault="00F43C3D">
      <w:pPr>
        <w:pStyle w:val="Title"/>
      </w:pPr>
      <w:r>
        <w:t>Enterprise Architecture Accelerator for the Persistence Layer</w:t>
      </w:r>
    </w:p>
    <w:p w14:paraId="464FF234" w14:textId="77777777" w:rsidR="00F43C3D" w:rsidRDefault="00F43C3D">
      <w:pPr>
        <w:pStyle w:val="Subtitle"/>
      </w:pPr>
      <w:r>
        <w:t>A reusable blueprint for selecting, designing, governing, and operating enterprise data stores</w:t>
      </w:r>
    </w:p>
    <w:p w14:paraId="01C566B7" w14:textId="77777777" w:rsidR="00F43C3D" w:rsidRDefault="00F43C3D">
      <w:pPr>
        <w:pStyle w:val="Heading1"/>
        <w:rPr>
          <w:rFonts w:asciiTheme="minorHAnsi" w:hAnsiTheme="minorHAnsi" w:cstheme="minorBidi"/>
        </w:rPr>
      </w:pPr>
      <w:r>
        <w:rPr>
          <w:rFonts w:asciiTheme="minorHAnsi" w:hAnsiTheme="minorHAnsi" w:cstheme="minorBidi"/>
        </w:rPr>
        <w:t>1. Executive Overview</w:t>
      </w:r>
    </w:p>
    <w:p w14:paraId="08985B1C" w14:textId="77777777" w:rsidR="00F43C3D" w:rsidRDefault="00F43C3D">
      <w:r>
        <w:t>This accelerator provides a technology-neutral, repeatable approach for persistence-layer architecture across transactional, analytical, integration, and AI-enabled workloads. It helps teams move from business requirements to an approved data-store design faster, while preserving security, resilience, operability, cost control, and regulatory compliance.</w:t>
      </w:r>
    </w:p>
    <w:p w14:paraId="35D41456" w14:textId="77777777" w:rsidR="00F43C3D" w:rsidRDefault="00F43C3D">
      <w:pPr>
        <w:pStyle w:val="Heading2"/>
        <w:rPr>
          <w:rFonts w:asciiTheme="minorHAnsi" w:hAnsiTheme="minorHAnsi" w:cstheme="minorBidi"/>
        </w:rPr>
      </w:pPr>
      <w:r>
        <w:rPr>
          <w:rFonts w:asciiTheme="minorHAnsi" w:hAnsiTheme="minorHAnsi" w:cstheme="minorBidi"/>
        </w:rPr>
        <w:t>Target Outcomes</w:t>
      </w:r>
    </w:p>
    <w:p w14:paraId="2E2E0257" w14:textId="77777777" w:rsidR="00F43C3D" w:rsidRDefault="00F43C3D" w:rsidP="00F43C3D">
      <w:pPr>
        <w:pStyle w:val="ListParagraph"/>
        <w:numPr>
          <w:ilvl w:val="0"/>
          <w:numId w:val="1"/>
        </w:numPr>
      </w:pPr>
      <w:r>
        <w:t>Reduce architecture decision time through standard decision trees and pre-approved patterns.</w:t>
      </w:r>
    </w:p>
    <w:p w14:paraId="361C9FC5" w14:textId="77777777" w:rsidR="00F43C3D" w:rsidRDefault="00F43C3D" w:rsidP="00F43C3D">
      <w:pPr>
        <w:pStyle w:val="ListParagraph"/>
        <w:numPr>
          <w:ilvl w:val="0"/>
          <w:numId w:val="1"/>
        </w:numPr>
      </w:pPr>
      <w:r>
        <w:t>Match workload characteristics to the right persistence technology instead of defaulting to a single database.</w:t>
      </w:r>
    </w:p>
    <w:p w14:paraId="032A0C15" w14:textId="77777777" w:rsidR="00F43C3D" w:rsidRDefault="00F43C3D" w:rsidP="00F43C3D">
      <w:pPr>
        <w:pStyle w:val="ListParagraph"/>
        <w:numPr>
          <w:ilvl w:val="0"/>
          <w:numId w:val="1"/>
        </w:numPr>
      </w:pPr>
      <w:r>
        <w:t>Embed security, privacy, resilience, observability, and lifecycle controls by design.</w:t>
      </w:r>
    </w:p>
    <w:p w14:paraId="7F1E27FD" w14:textId="77777777" w:rsidR="00F43C3D" w:rsidRDefault="00F43C3D" w:rsidP="00F43C3D">
      <w:pPr>
        <w:pStyle w:val="ListParagraph"/>
        <w:numPr>
          <w:ilvl w:val="0"/>
          <w:numId w:val="1"/>
        </w:numPr>
      </w:pPr>
      <w:r>
        <w:t>Provide reusable templates, quality gates, and evidence for governance reviews.</w:t>
      </w:r>
    </w:p>
    <w:p w14:paraId="42F1151D" w14:textId="77777777" w:rsidR="00F43C3D" w:rsidRDefault="00F43C3D" w:rsidP="00F43C3D">
      <w:pPr>
        <w:pStyle w:val="ListParagraph"/>
        <w:numPr>
          <w:ilvl w:val="0"/>
          <w:numId w:val="1"/>
        </w:numPr>
      </w:pPr>
      <w:r>
        <w:t>Create consistent ownership, service levels, and operational accountability.</w:t>
      </w:r>
    </w:p>
    <w:p w14:paraId="46FF41F9" w14:textId="77777777" w:rsidR="00F43C3D" w:rsidRDefault="00F43C3D">
      <w:pPr>
        <w:pStyle w:val="Heading2"/>
        <w:rPr>
          <w:rFonts w:asciiTheme="minorHAnsi" w:hAnsiTheme="minorHAnsi" w:cstheme="minorBidi"/>
        </w:rPr>
      </w:pPr>
      <w:r>
        <w:rPr>
          <w:rFonts w:asciiTheme="minorHAnsi" w:hAnsiTheme="minorHAnsi" w:cstheme="minorBidi"/>
        </w:rPr>
        <w:t>Scope</w:t>
      </w:r>
    </w:p>
    <w:p w14:paraId="64C5B8F3" w14:textId="77777777" w:rsidR="00F43C3D" w:rsidRDefault="00F43C3D">
      <w:r>
        <w:t>The accelerator covers relational databases, key-value and document stores, distributed SQL, time-series databases, graph databases, object storage, data lakes, warehouses, caches, search indexes, event stores, and archival repositories. It addresses logical and physical design, data access, integration, security, availability, backup and recovery, observability, lifecycle management, and governance.</w:t>
      </w:r>
    </w:p>
    <w:p w14:paraId="47BCA209" w14:textId="77777777" w:rsidR="00F43C3D" w:rsidRDefault="00F43C3D">
      <w:pPr>
        <w:pStyle w:val="Heading1"/>
        <w:rPr>
          <w:rFonts w:asciiTheme="minorHAnsi" w:hAnsiTheme="minorHAnsi" w:cstheme="minorBidi"/>
        </w:rPr>
      </w:pPr>
      <w:r>
        <w:rPr>
          <w:rFonts w:asciiTheme="minorHAnsi" w:hAnsiTheme="minorHAnsi" w:cstheme="minorBidi"/>
        </w:rPr>
        <w:t>2. Architecture Principles</w:t>
      </w:r>
    </w:p>
    <w:tbl>
      <w:tblPr>
        <w:tblStyle w:val="GridTable4-Accent1"/>
        <w:tblW w:w="5000" w:type="pct"/>
        <w:tblLook w:val="04A0" w:firstRow="1" w:lastRow="0" w:firstColumn="1" w:lastColumn="0" w:noHBand="0" w:noVBand="1"/>
      </w:tblPr>
      <w:tblGrid>
        <w:gridCol w:w="2714"/>
        <w:gridCol w:w="6636"/>
      </w:tblGrid>
      <w:tr w:rsidR="00F43C3D" w14:paraId="3F0D27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F15C7" w14:textId="77777777" w:rsidR="00F43C3D" w:rsidRDefault="00F43C3D">
            <w:pPr>
              <w:spacing w:after="160"/>
            </w:pPr>
            <w:r>
              <w:t>Principle</w:t>
            </w:r>
          </w:p>
        </w:tc>
        <w:tc>
          <w:tcPr>
            <w:tcW w:w="0" w:type="auto"/>
            <w:hideMark/>
          </w:tcPr>
          <w:p w14:paraId="3DF36F99"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Required Interpretation</w:t>
            </w:r>
          </w:p>
        </w:tc>
      </w:tr>
      <w:tr w:rsidR="00F43C3D" w14:paraId="698E43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55C24" w14:textId="77777777" w:rsidR="00F43C3D" w:rsidRDefault="00F43C3D">
            <w:pPr>
              <w:spacing w:after="160"/>
            </w:pPr>
            <w:r>
              <w:t>Fit for purpose</w:t>
            </w:r>
          </w:p>
        </w:tc>
        <w:tc>
          <w:tcPr>
            <w:tcW w:w="0" w:type="auto"/>
            <w:hideMark/>
          </w:tcPr>
          <w:p w14:paraId="269CD46E"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Select a store from workload needs, data shape, consistency, latency, scale, and team capability.</w:t>
            </w:r>
          </w:p>
        </w:tc>
      </w:tr>
      <w:tr w:rsidR="00F43C3D" w14:paraId="653EC82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BF45B0" w14:textId="77777777" w:rsidR="00F43C3D" w:rsidRDefault="00F43C3D">
            <w:pPr>
              <w:spacing w:after="160"/>
            </w:pPr>
            <w:r>
              <w:lastRenderedPageBreak/>
              <w:t>Data as a product</w:t>
            </w:r>
          </w:p>
        </w:tc>
        <w:tc>
          <w:tcPr>
            <w:tcW w:w="0" w:type="auto"/>
            <w:hideMark/>
          </w:tcPr>
          <w:p w14:paraId="71E1246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Assign accountable owners, quality objectives, metadata, and supported access contracts.</w:t>
            </w:r>
          </w:p>
        </w:tc>
      </w:tr>
      <w:tr w:rsidR="00F43C3D" w14:paraId="3D9683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26640" w14:textId="77777777" w:rsidR="00F43C3D" w:rsidRDefault="00F43C3D">
            <w:pPr>
              <w:spacing w:after="160"/>
            </w:pPr>
            <w:r>
              <w:t>Secure by default</w:t>
            </w:r>
          </w:p>
        </w:tc>
        <w:tc>
          <w:tcPr>
            <w:tcW w:w="0" w:type="auto"/>
            <w:hideMark/>
          </w:tcPr>
          <w:p w14:paraId="6F698169"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Apply least privilege, encryption, secrets management, auditing, and data classification controls.</w:t>
            </w:r>
          </w:p>
        </w:tc>
      </w:tr>
      <w:tr w:rsidR="00F43C3D" w14:paraId="59B7CF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22D239E" w14:textId="77777777" w:rsidR="00F43C3D" w:rsidRDefault="00F43C3D">
            <w:pPr>
              <w:spacing w:after="160"/>
            </w:pPr>
            <w:r>
              <w:t>Prefer managed services</w:t>
            </w:r>
          </w:p>
        </w:tc>
        <w:tc>
          <w:tcPr>
            <w:tcW w:w="0" w:type="auto"/>
            <w:hideMark/>
          </w:tcPr>
          <w:p w14:paraId="28BC4535"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Use managed platforms when they meet portability, control, resilience, and cost requirements.</w:t>
            </w:r>
          </w:p>
        </w:tc>
      </w:tr>
      <w:tr w:rsidR="00F43C3D" w14:paraId="259BE6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EB99" w14:textId="77777777" w:rsidR="00F43C3D" w:rsidRDefault="00F43C3D">
            <w:pPr>
              <w:spacing w:after="160"/>
            </w:pPr>
            <w:r>
              <w:t>Automate everything repeatable</w:t>
            </w:r>
          </w:p>
        </w:tc>
        <w:tc>
          <w:tcPr>
            <w:tcW w:w="0" w:type="auto"/>
            <w:hideMark/>
          </w:tcPr>
          <w:p w14:paraId="0D7A3DA7"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Provision, configure, test, migrate, back up, and monitor through version-controlled automation.</w:t>
            </w:r>
          </w:p>
        </w:tc>
      </w:tr>
      <w:tr w:rsidR="00F43C3D" w14:paraId="74143D7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8F58DA5" w14:textId="77777777" w:rsidR="00F43C3D" w:rsidRDefault="00F43C3D">
            <w:pPr>
              <w:spacing w:after="160"/>
            </w:pPr>
            <w:r>
              <w:t>Design for failure</w:t>
            </w:r>
          </w:p>
        </w:tc>
        <w:tc>
          <w:tcPr>
            <w:tcW w:w="0" w:type="auto"/>
            <w:hideMark/>
          </w:tcPr>
          <w:p w14:paraId="2F47E476"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Define recovery objectives and test graceful degradation, failover, restore, and regional recovery.</w:t>
            </w:r>
          </w:p>
        </w:tc>
      </w:tr>
      <w:tr w:rsidR="00F43C3D" w14:paraId="08E3AE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6B35B" w14:textId="77777777" w:rsidR="00F43C3D" w:rsidRDefault="00F43C3D">
            <w:pPr>
              <w:spacing w:after="160"/>
            </w:pPr>
            <w:r>
              <w:t>Minimize data duplication</w:t>
            </w:r>
          </w:p>
        </w:tc>
        <w:tc>
          <w:tcPr>
            <w:tcW w:w="0" w:type="auto"/>
            <w:hideMark/>
          </w:tcPr>
          <w:p w14:paraId="159B7BA9"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Duplicate only for explicit performance, autonomy, analytics, or resilience outcomes with ownership.</w:t>
            </w:r>
          </w:p>
        </w:tc>
      </w:tr>
      <w:tr w:rsidR="00F43C3D" w14:paraId="7CFFFCE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1A86A7D" w14:textId="77777777" w:rsidR="00F43C3D" w:rsidRDefault="00F43C3D">
            <w:pPr>
              <w:spacing w:after="160"/>
            </w:pPr>
            <w:r>
              <w:t>Lifecycle by design</w:t>
            </w:r>
          </w:p>
        </w:tc>
        <w:tc>
          <w:tcPr>
            <w:tcW w:w="0" w:type="auto"/>
            <w:hideMark/>
          </w:tcPr>
          <w:p w14:paraId="550A08C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Define retention, legal hold, archival, deletion, and disposal before production approval.</w:t>
            </w:r>
          </w:p>
        </w:tc>
      </w:tr>
    </w:tbl>
    <w:p w14:paraId="3FABA4A8" w14:textId="77777777" w:rsidR="00F43C3D" w:rsidRDefault="00F43C3D"/>
    <w:p w14:paraId="73ECBB6F" w14:textId="77777777" w:rsidR="00F43C3D" w:rsidRDefault="00F43C3D">
      <w:pPr>
        <w:pStyle w:val="Heading1"/>
        <w:rPr>
          <w:rFonts w:cstheme="minorBidi"/>
        </w:rPr>
      </w:pPr>
      <w:r>
        <w:rPr>
          <w:rFonts w:cstheme="minorBidi"/>
        </w:rPr>
        <w:t>3. Persistence Reference Architecture</w:t>
      </w:r>
    </w:p>
    <w:p w14:paraId="196FF836" w14:textId="77777777" w:rsidR="00F43C3D" w:rsidRDefault="00F43C3D" w:rsidP="00F43C3D">
      <w:pPr>
        <w:pStyle w:val="ListParagraph"/>
        <w:numPr>
          <w:ilvl w:val="0"/>
          <w:numId w:val="2"/>
        </w:numPr>
      </w:pPr>
      <w:r w:rsidRPr="00F43C3D">
        <w:rPr>
          <w:b/>
          <w:bCs/>
        </w:rPr>
        <w:t>Experience and API layer:</w:t>
      </w:r>
      <w:r>
        <w:t xml:space="preserve"> channels, services, APIs, batch interfaces, and </w:t>
      </w:r>
      <w:proofErr w:type="gramStart"/>
      <w:r>
        <w:t>event</w:t>
      </w:r>
      <w:proofErr w:type="gramEnd"/>
      <w:r>
        <w:t xml:space="preserve"> consumers use governed contracts.</w:t>
      </w:r>
    </w:p>
    <w:p w14:paraId="7791F36D" w14:textId="77777777" w:rsidR="00F43C3D" w:rsidRDefault="00F43C3D" w:rsidP="00F43C3D">
      <w:pPr>
        <w:pStyle w:val="ListParagraph"/>
        <w:numPr>
          <w:ilvl w:val="0"/>
          <w:numId w:val="2"/>
        </w:numPr>
      </w:pPr>
      <w:r>
        <w:rPr>
          <w:b/>
          <w:bCs/>
        </w:rPr>
        <w:t>Data-access layer:</w:t>
      </w:r>
      <w:r>
        <w:t xml:space="preserve"> repositories, query services, object-relational mapping, </w:t>
      </w:r>
      <w:proofErr w:type="gramStart"/>
      <w:r>
        <w:t>caching</w:t>
      </w:r>
      <w:proofErr w:type="gramEnd"/>
      <w:r>
        <w:t>, connection pooling, and policy enforcement isolate applications from physical stores.</w:t>
      </w:r>
    </w:p>
    <w:p w14:paraId="35348533" w14:textId="77777777" w:rsidR="00F43C3D" w:rsidRDefault="00F43C3D" w:rsidP="00F43C3D">
      <w:pPr>
        <w:pStyle w:val="ListParagraph"/>
        <w:numPr>
          <w:ilvl w:val="0"/>
          <w:numId w:val="2"/>
        </w:numPr>
      </w:pPr>
      <w:r>
        <w:rPr>
          <w:b/>
          <w:bCs/>
        </w:rPr>
        <w:t>Operational persistence:</w:t>
      </w:r>
      <w:r>
        <w:t xml:space="preserve"> relational, document, key-value, graph, time-series, search, cache, and event-store technologies support domain workloads.</w:t>
      </w:r>
    </w:p>
    <w:p w14:paraId="3AE6BEE2" w14:textId="77777777" w:rsidR="00F43C3D" w:rsidRDefault="00F43C3D" w:rsidP="00F43C3D">
      <w:pPr>
        <w:pStyle w:val="ListParagraph"/>
        <w:numPr>
          <w:ilvl w:val="0"/>
          <w:numId w:val="2"/>
        </w:numPr>
      </w:pPr>
      <w:r>
        <w:rPr>
          <w:b/>
          <w:bCs/>
        </w:rPr>
        <w:t>Analytical persistence:</w:t>
      </w:r>
      <w:r>
        <w:t xml:space="preserve"> object storage, </w:t>
      </w:r>
      <w:proofErr w:type="spellStart"/>
      <w:r>
        <w:t>lakehouse</w:t>
      </w:r>
      <w:proofErr w:type="spellEnd"/>
      <w:r>
        <w:t>, warehouse, semantic models, and feature stores support reporting, data science, and AI.</w:t>
      </w:r>
    </w:p>
    <w:p w14:paraId="4135B746" w14:textId="77777777" w:rsidR="00F43C3D" w:rsidRDefault="00F43C3D" w:rsidP="00F43C3D">
      <w:pPr>
        <w:pStyle w:val="ListParagraph"/>
        <w:numPr>
          <w:ilvl w:val="0"/>
          <w:numId w:val="2"/>
        </w:numPr>
      </w:pPr>
      <w:r>
        <w:rPr>
          <w:b/>
          <w:bCs/>
        </w:rPr>
        <w:t>Integration and movement:</w:t>
      </w:r>
      <w:r>
        <w:t xml:space="preserve"> change data capture, events, streaming, replication, APIs, and governed data pipelines move data with traceability.</w:t>
      </w:r>
    </w:p>
    <w:p w14:paraId="44C4C3BC" w14:textId="77777777" w:rsidR="00F43C3D" w:rsidRDefault="00F43C3D" w:rsidP="00F43C3D">
      <w:pPr>
        <w:pStyle w:val="ListParagraph"/>
        <w:numPr>
          <w:ilvl w:val="0"/>
          <w:numId w:val="2"/>
        </w:numPr>
      </w:pPr>
      <w:r>
        <w:rPr>
          <w:b/>
          <w:bCs/>
        </w:rPr>
        <w:t>Cross-cutting control plane:</w:t>
      </w:r>
      <w:r>
        <w:t xml:space="preserve"> identity, encryption, metadata, observability, policy, backup, recovery, cost management, and platform automation apply across all layers.</w:t>
      </w:r>
    </w:p>
    <w:p w14:paraId="623CFAD9" w14:textId="77777777" w:rsidR="00F43C3D" w:rsidRDefault="00F43C3D" w:rsidP="00F43C3D">
      <w:pPr>
        <w:pStyle w:val="ListParagraph"/>
        <w:rPr>
          <w:rFonts w:ascii="Arial" w:hAnsi="Arial" w:cs="Arial"/>
          <w:sz w:val="2"/>
          <w:szCs w:val="2"/>
        </w:rPr>
      </w:pPr>
      <w:r>
        <w:rPr>
          <w:rFonts w:ascii="Arial" w:hAnsi="Arial" w:cs="Arial"/>
          <w:sz w:val="2"/>
          <w:szCs w:val="2"/>
        </w:rPr>
        <w:br w:type="page"/>
      </w:r>
    </w:p>
    <w:p w14:paraId="604FA7E2" w14:textId="77777777" w:rsidR="00F43C3D" w:rsidRDefault="00F43C3D">
      <w:pPr>
        <w:pStyle w:val="Heading2"/>
        <w:rPr>
          <w:rFonts w:cstheme="minorBidi"/>
        </w:rPr>
      </w:pPr>
      <w:r>
        <w:rPr>
          <w:rFonts w:cstheme="minorBidi"/>
        </w:rPr>
        <w:lastRenderedPageBreak/>
        <w:t>3.1 One-Page Reference Architecture Diagram Description</w:t>
      </w:r>
    </w:p>
    <w:p w14:paraId="707B18DF" w14:textId="77777777" w:rsidR="00F43C3D" w:rsidRDefault="00F43C3D">
      <w:r>
        <w:t xml:space="preserve">Use a single landscape </w:t>
      </w:r>
      <w:proofErr w:type="gramStart"/>
      <w:r>
        <w:t>diagram</w:t>
      </w:r>
      <w:proofErr w:type="gramEnd"/>
      <w:r>
        <w:t xml:space="preserve"> read left to right. Show governed entry points, domain services, data access, fit-for-purpose persistence, data movement, and analytical consumption, with one control plane spanning every layer.</w:t>
      </w:r>
    </w:p>
    <w:tbl>
      <w:tblPr>
        <w:tblStyle w:val="GridTable4-Accent1"/>
        <w:tblW w:w="5000" w:type="pct"/>
        <w:tblLook w:val="04A0" w:firstRow="1" w:lastRow="0" w:firstColumn="1" w:lastColumn="0" w:noHBand="0" w:noVBand="1"/>
      </w:tblPr>
      <w:tblGrid>
        <w:gridCol w:w="2159"/>
        <w:gridCol w:w="7191"/>
      </w:tblGrid>
      <w:tr w:rsidR="00F43C3D" w14:paraId="76E36D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98DB2" w14:textId="77777777" w:rsidR="00F43C3D" w:rsidRDefault="00F43C3D">
            <w:pPr>
              <w:spacing w:after="160"/>
            </w:pPr>
            <w:r>
              <w:t>Zone</w:t>
            </w:r>
          </w:p>
        </w:tc>
        <w:tc>
          <w:tcPr>
            <w:tcW w:w="0" w:type="auto"/>
            <w:hideMark/>
          </w:tcPr>
          <w:p w14:paraId="569D982A"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Diagram Content</w:t>
            </w:r>
          </w:p>
        </w:tc>
      </w:tr>
      <w:tr w:rsidR="00F43C3D" w14:paraId="7FF0E1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9FD90" w14:textId="77777777" w:rsidR="00F43C3D" w:rsidRDefault="00F43C3D">
            <w:pPr>
              <w:spacing w:after="160"/>
            </w:pPr>
            <w:r>
              <w:t>1. Consumers and Edge</w:t>
            </w:r>
          </w:p>
        </w:tc>
        <w:tc>
          <w:tcPr>
            <w:tcW w:w="0" w:type="auto"/>
            <w:hideMark/>
          </w:tcPr>
          <w:p w14:paraId="64B146AA"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Web, mobile, partners, batch, BI, data science, and AI connect through API, </w:t>
            </w:r>
            <w:proofErr w:type="gramStart"/>
            <w:r>
              <w:t>event</w:t>
            </w:r>
            <w:proofErr w:type="gramEnd"/>
            <w:r>
              <w:t>, streaming, or file gateways with identity enforcement.</w:t>
            </w:r>
          </w:p>
        </w:tc>
      </w:tr>
      <w:tr w:rsidR="00F43C3D" w14:paraId="1D56F13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FFC58C" w14:textId="77777777" w:rsidR="00F43C3D" w:rsidRDefault="00F43C3D">
            <w:pPr>
              <w:spacing w:after="160"/>
            </w:pPr>
            <w:r>
              <w:t>2. Domain Services</w:t>
            </w:r>
          </w:p>
        </w:tc>
        <w:tc>
          <w:tcPr>
            <w:tcW w:w="0" w:type="auto"/>
            <w:hideMark/>
          </w:tcPr>
          <w:p w14:paraId="2D4A7AD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Bounded-context services own their data and share only through governed APIs or events; prohibit direct cross-domain table access.</w:t>
            </w:r>
          </w:p>
        </w:tc>
      </w:tr>
      <w:tr w:rsidR="00F43C3D" w14:paraId="2E0998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3296" w14:textId="77777777" w:rsidR="00F43C3D" w:rsidRDefault="00F43C3D">
            <w:pPr>
              <w:spacing w:after="160"/>
            </w:pPr>
            <w:r>
              <w:t>3. Data Access</w:t>
            </w:r>
          </w:p>
        </w:tc>
        <w:tc>
          <w:tcPr>
            <w:tcW w:w="0" w:type="auto"/>
            <w:hideMark/>
          </w:tcPr>
          <w:p w14:paraId="30AE6947"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Repositories, query services, connection pools, cache-aside, transaction handling, schema contracts, CQRS, and transactional outbox.</w:t>
            </w:r>
          </w:p>
        </w:tc>
      </w:tr>
      <w:tr w:rsidR="00F43C3D" w14:paraId="3A313E6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3B4356" w14:textId="77777777" w:rsidR="00F43C3D" w:rsidRDefault="00F43C3D">
            <w:pPr>
              <w:spacing w:after="160"/>
            </w:pPr>
            <w:r>
              <w:t>4. Operational Stores</w:t>
            </w:r>
          </w:p>
        </w:tc>
        <w:tc>
          <w:tcPr>
            <w:tcW w:w="0" w:type="auto"/>
            <w:hideMark/>
          </w:tcPr>
          <w:p w14:paraId="1993124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Relational or distributed SQL, document, key-value, graph, time-series, search, cache, and event stores. Mark each system of record.</w:t>
            </w:r>
          </w:p>
        </w:tc>
      </w:tr>
      <w:tr w:rsidR="00F43C3D" w14:paraId="1487F5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3E4FD" w14:textId="77777777" w:rsidR="00F43C3D" w:rsidRDefault="00F43C3D">
            <w:pPr>
              <w:spacing w:after="160"/>
            </w:pPr>
            <w:r>
              <w:t>5. Movement and Analytics</w:t>
            </w:r>
          </w:p>
        </w:tc>
        <w:tc>
          <w:tcPr>
            <w:tcW w:w="0" w:type="auto"/>
            <w:hideMark/>
          </w:tcPr>
          <w:p w14:paraId="77E4832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CDC, events, replication, ETL/ELT, quality, lineage, and orchestration feed object storage, </w:t>
            </w:r>
            <w:proofErr w:type="spellStart"/>
            <w:r>
              <w:t>lakehouse</w:t>
            </w:r>
            <w:proofErr w:type="spellEnd"/>
            <w:r>
              <w:t>, warehouse, semantic, feature, and archive stores.</w:t>
            </w:r>
          </w:p>
        </w:tc>
      </w:tr>
      <w:tr w:rsidR="00F43C3D" w14:paraId="228181D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F4B2C4" w14:textId="77777777" w:rsidR="00F43C3D" w:rsidRDefault="00F43C3D">
            <w:pPr>
              <w:spacing w:after="160"/>
            </w:pPr>
            <w:r>
              <w:t>6. Enterprise Control Plane</w:t>
            </w:r>
          </w:p>
        </w:tc>
        <w:tc>
          <w:tcPr>
            <w:tcW w:w="0" w:type="auto"/>
            <w:hideMark/>
          </w:tcPr>
          <w:p w14:paraId="4C7AEA76"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Identity, encryption, secrets, private networking, policy, metadata, observability, backup, recovery, lifecycle, automation, and FinOps span all zones.</w:t>
            </w:r>
          </w:p>
        </w:tc>
      </w:tr>
    </w:tbl>
    <w:p w14:paraId="71A004C7" w14:textId="77777777" w:rsidR="00F43C3D" w:rsidRDefault="00F43C3D"/>
    <w:p w14:paraId="778A0BC3" w14:textId="77777777" w:rsidR="00F43C3D" w:rsidRDefault="00F43C3D">
      <w:r>
        <w:rPr>
          <w:b/>
          <w:bCs/>
        </w:rPr>
        <w:t>Flows and boundaries:</w:t>
      </w:r>
      <w:r>
        <w:t xml:space="preserve"> solid arrows = synchronous requests; dashed = events/streams; dotted = CDC, replication, or batch. Separate external, application, data-platform, and administrative trust zones. Show multi-zone deployment, recovery region, backup vault, residency boundary, and audited privileged access.</w:t>
      </w:r>
    </w:p>
    <w:p w14:paraId="1DE14CCB" w14:textId="77777777" w:rsidR="00F43C3D" w:rsidRDefault="00F43C3D">
      <w:r>
        <w:rPr>
          <w:b/>
          <w:bCs/>
        </w:rPr>
        <w:t>Required labels:</w:t>
      </w:r>
      <w:r>
        <w:t xml:space="preserve"> owner, system of record or derived store, data classification, primary access pattern, availability target, RTO/RPO tier, retention tier, and consistency expectation. The diagram’s core message </w:t>
      </w:r>
      <w:proofErr w:type="gramStart"/>
      <w:r>
        <w:t>is:</w:t>
      </w:r>
      <w:proofErr w:type="gramEnd"/>
      <w:r>
        <w:t xml:space="preserve"> domain autonomy, workload-based store selection, governed data sharing, and consistent enterprise controls.</w:t>
      </w:r>
    </w:p>
    <w:p w14:paraId="2A855086" w14:textId="77777777" w:rsidR="00F43C3D" w:rsidRDefault="00F43C3D" w:rsidP="00F43C3D">
      <w:pPr>
        <w:rPr>
          <w:rFonts w:ascii="Arial" w:hAnsi="Arial" w:cs="Arial"/>
          <w:sz w:val="2"/>
          <w:szCs w:val="2"/>
        </w:rPr>
      </w:pPr>
      <w:r>
        <w:rPr>
          <w:rFonts w:ascii="Arial" w:hAnsi="Arial" w:cs="Arial"/>
          <w:sz w:val="2"/>
          <w:szCs w:val="2"/>
        </w:rPr>
        <w:br w:type="page"/>
      </w:r>
    </w:p>
    <w:p w14:paraId="5F5DF606" w14:textId="77777777" w:rsidR="00F43C3D" w:rsidRDefault="00F43C3D">
      <w:pPr>
        <w:pStyle w:val="Heading2"/>
        <w:rPr>
          <w:rFonts w:cstheme="minorBidi"/>
        </w:rPr>
      </w:pPr>
      <w:r>
        <w:rPr>
          <w:rFonts w:cstheme="minorBidi"/>
        </w:rPr>
        <w:lastRenderedPageBreak/>
        <w:t>3.2 Component, Feature, and Technology Stack Catalog</w:t>
      </w:r>
    </w:p>
    <w:p w14:paraId="24B80BE3" w14:textId="77777777" w:rsidR="00F43C3D" w:rsidRDefault="00F43C3D">
      <w:r>
        <w:t>The following catalog maps the logical architecture components to required enterprise features and representative technology options. Product choices should be validated against workload, regulatory, operational, portability, and cost requirements.</w:t>
      </w:r>
    </w:p>
    <w:tbl>
      <w:tblPr>
        <w:tblStyle w:val="GridTable4-Accent1"/>
        <w:tblW w:w="5000" w:type="pct"/>
        <w:tblLook w:val="04A0" w:firstRow="1" w:lastRow="0" w:firstColumn="1" w:lastColumn="0" w:noHBand="0" w:noVBand="1"/>
      </w:tblPr>
      <w:tblGrid>
        <w:gridCol w:w="1698"/>
        <w:gridCol w:w="1869"/>
        <w:gridCol w:w="2768"/>
        <w:gridCol w:w="3015"/>
      </w:tblGrid>
      <w:tr w:rsidR="00F43C3D" w14:paraId="2A33312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07A5A" w14:textId="77777777" w:rsidR="00F43C3D" w:rsidRDefault="00F43C3D">
            <w:pPr>
              <w:spacing w:after="160"/>
            </w:pPr>
            <w:r>
              <w:t>Architecture Layer</w:t>
            </w:r>
          </w:p>
        </w:tc>
        <w:tc>
          <w:tcPr>
            <w:tcW w:w="0" w:type="auto"/>
            <w:hideMark/>
          </w:tcPr>
          <w:p w14:paraId="5652BB57"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Component</w:t>
            </w:r>
          </w:p>
        </w:tc>
        <w:tc>
          <w:tcPr>
            <w:tcW w:w="0" w:type="auto"/>
            <w:hideMark/>
          </w:tcPr>
          <w:p w14:paraId="3EE9E0FB"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Core Features</w:t>
            </w:r>
          </w:p>
        </w:tc>
        <w:tc>
          <w:tcPr>
            <w:tcW w:w="0" w:type="auto"/>
            <w:hideMark/>
          </w:tcPr>
          <w:p w14:paraId="2D68D800"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Representative Technology Stack</w:t>
            </w:r>
          </w:p>
        </w:tc>
      </w:tr>
      <w:tr w:rsidR="00F43C3D" w14:paraId="07F0A9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22F2B" w14:textId="77777777" w:rsidR="00F43C3D" w:rsidRDefault="00F43C3D">
            <w:pPr>
              <w:spacing w:after="160"/>
            </w:pPr>
            <w:r>
              <w:t xml:space="preserve">Experience and </w:t>
            </w:r>
            <w:proofErr w:type="gramStart"/>
            <w:r>
              <w:t>Edge</w:t>
            </w:r>
            <w:proofErr w:type="gramEnd"/>
          </w:p>
        </w:tc>
        <w:tc>
          <w:tcPr>
            <w:tcW w:w="0" w:type="auto"/>
            <w:hideMark/>
          </w:tcPr>
          <w:p w14:paraId="4E08315A"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API gateway</w:t>
            </w:r>
          </w:p>
        </w:tc>
        <w:tc>
          <w:tcPr>
            <w:tcW w:w="0" w:type="auto"/>
            <w:hideMark/>
          </w:tcPr>
          <w:p w14:paraId="2B5A3465"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Authentication, authorization, throttling, routing, versioning, schema validation, audit</w:t>
            </w:r>
          </w:p>
        </w:tc>
        <w:tc>
          <w:tcPr>
            <w:tcW w:w="0" w:type="auto"/>
            <w:hideMark/>
          </w:tcPr>
          <w:p w14:paraId="3E98D358"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Azure API Management; AWS API Gateway; Apigee; Kong</w:t>
            </w:r>
          </w:p>
        </w:tc>
      </w:tr>
      <w:tr w:rsidR="00F43C3D" w14:paraId="67935A5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B072E6" w14:textId="77777777" w:rsidR="00F43C3D" w:rsidRDefault="00F43C3D">
            <w:pPr>
              <w:spacing w:after="160"/>
            </w:pPr>
            <w:r>
              <w:t xml:space="preserve">Experience and </w:t>
            </w:r>
            <w:proofErr w:type="gramStart"/>
            <w:r>
              <w:t>Edge</w:t>
            </w:r>
            <w:proofErr w:type="gramEnd"/>
          </w:p>
        </w:tc>
        <w:tc>
          <w:tcPr>
            <w:tcW w:w="0" w:type="auto"/>
            <w:hideMark/>
          </w:tcPr>
          <w:p w14:paraId="2A34BA92"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Event and streaming gateway</w:t>
            </w:r>
          </w:p>
        </w:tc>
        <w:tc>
          <w:tcPr>
            <w:tcW w:w="0" w:type="auto"/>
            <w:hideMark/>
          </w:tcPr>
          <w:p w14:paraId="43E644C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Topic management, durable messaging, ordering, replay, schema enforcement, dead-letter handling</w:t>
            </w:r>
          </w:p>
        </w:tc>
        <w:tc>
          <w:tcPr>
            <w:tcW w:w="0" w:type="auto"/>
            <w:hideMark/>
          </w:tcPr>
          <w:p w14:paraId="73E9B360"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Apache Kafka; Azure Event Hubs or Service Bus; Amazon MSK, Kinesis, or SNS/SQS; Confluent Platform</w:t>
            </w:r>
          </w:p>
        </w:tc>
      </w:tr>
      <w:tr w:rsidR="00F43C3D" w14:paraId="5311CE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DAE2C" w14:textId="77777777" w:rsidR="00F43C3D" w:rsidRDefault="00F43C3D">
            <w:pPr>
              <w:spacing w:after="160"/>
            </w:pPr>
            <w:r>
              <w:t>Domain Services</w:t>
            </w:r>
          </w:p>
        </w:tc>
        <w:tc>
          <w:tcPr>
            <w:tcW w:w="0" w:type="auto"/>
            <w:hideMark/>
          </w:tcPr>
          <w:p w14:paraId="110F9D69"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Application runtime</w:t>
            </w:r>
          </w:p>
        </w:tc>
        <w:tc>
          <w:tcPr>
            <w:tcW w:w="0" w:type="auto"/>
            <w:hideMark/>
          </w:tcPr>
          <w:p w14:paraId="1F168D4E"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Domain isolation, autoscaling, health checks, service identity, configuration, deployment automation</w:t>
            </w:r>
          </w:p>
        </w:tc>
        <w:tc>
          <w:tcPr>
            <w:tcW w:w="0" w:type="auto"/>
            <w:hideMark/>
          </w:tcPr>
          <w:p w14:paraId="3F3799BD"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Kubernetes; OpenShift; Azure Kubernetes Service; Amazon EKS; managed application platforms</w:t>
            </w:r>
          </w:p>
        </w:tc>
      </w:tr>
      <w:tr w:rsidR="00F43C3D" w14:paraId="77B0DBF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D2D46AB" w14:textId="77777777" w:rsidR="00F43C3D" w:rsidRDefault="00F43C3D">
            <w:pPr>
              <w:spacing w:after="160"/>
            </w:pPr>
            <w:r>
              <w:t>Data Access</w:t>
            </w:r>
          </w:p>
        </w:tc>
        <w:tc>
          <w:tcPr>
            <w:tcW w:w="0" w:type="auto"/>
            <w:hideMark/>
          </w:tcPr>
          <w:p w14:paraId="7CFCF35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Repository and query layer</w:t>
            </w:r>
          </w:p>
        </w:tc>
        <w:tc>
          <w:tcPr>
            <w:tcW w:w="0" w:type="auto"/>
            <w:hideMark/>
          </w:tcPr>
          <w:p w14:paraId="0F108676"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Parameterized access, connection pooling, transaction boundaries, pagination, retries, timeouts</w:t>
            </w:r>
          </w:p>
        </w:tc>
        <w:tc>
          <w:tcPr>
            <w:tcW w:w="0" w:type="auto"/>
            <w:hideMark/>
          </w:tcPr>
          <w:p w14:paraId="08030A5A"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Java with Spring Data or Hibernate; .NET with Entity Framework Core; Python with </w:t>
            </w:r>
            <w:proofErr w:type="spellStart"/>
            <w:r>
              <w:t>SQLAlchemy</w:t>
            </w:r>
            <w:proofErr w:type="spellEnd"/>
            <w:r>
              <w:t xml:space="preserve">; Node.js with Prisma or </w:t>
            </w:r>
            <w:proofErr w:type="spellStart"/>
            <w:r>
              <w:t>TypeORM</w:t>
            </w:r>
            <w:proofErr w:type="spellEnd"/>
          </w:p>
        </w:tc>
      </w:tr>
      <w:tr w:rsidR="00F43C3D" w14:paraId="1BEF64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442B7" w14:textId="77777777" w:rsidR="00F43C3D" w:rsidRDefault="00F43C3D">
            <w:pPr>
              <w:spacing w:after="160"/>
            </w:pPr>
            <w:r>
              <w:t>Data Access</w:t>
            </w:r>
          </w:p>
        </w:tc>
        <w:tc>
          <w:tcPr>
            <w:tcW w:w="0" w:type="auto"/>
            <w:hideMark/>
          </w:tcPr>
          <w:p w14:paraId="73B03D2B"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Schema and migration management</w:t>
            </w:r>
          </w:p>
        </w:tc>
        <w:tc>
          <w:tcPr>
            <w:tcW w:w="0" w:type="auto"/>
            <w:hideMark/>
          </w:tcPr>
          <w:p w14:paraId="4B27A0E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Versioned migrations, backward compatibility, validation, rollback planning, deployment gates</w:t>
            </w:r>
          </w:p>
        </w:tc>
        <w:tc>
          <w:tcPr>
            <w:tcW w:w="0" w:type="auto"/>
            <w:hideMark/>
          </w:tcPr>
          <w:p w14:paraId="4A5437D9"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Flyway; Liquibase; Alembic; Entity Framework migrations; database-native deployment tooling</w:t>
            </w:r>
          </w:p>
        </w:tc>
      </w:tr>
      <w:tr w:rsidR="00F43C3D" w14:paraId="316CB47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F67A25" w14:textId="77777777" w:rsidR="00F43C3D" w:rsidRDefault="00F43C3D">
            <w:pPr>
              <w:spacing w:after="160"/>
            </w:pPr>
            <w:r>
              <w:t>Operational Persistence</w:t>
            </w:r>
          </w:p>
        </w:tc>
        <w:tc>
          <w:tcPr>
            <w:tcW w:w="0" w:type="auto"/>
            <w:hideMark/>
          </w:tcPr>
          <w:p w14:paraId="0FB8BEDA"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Relational database</w:t>
            </w:r>
          </w:p>
        </w:tc>
        <w:tc>
          <w:tcPr>
            <w:tcW w:w="0" w:type="auto"/>
            <w:hideMark/>
          </w:tcPr>
          <w:p w14:paraId="3D7E69C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ACID transactions, constraints, </w:t>
            </w:r>
            <w:proofErr w:type="gramStart"/>
            <w:r>
              <w:t>joins</w:t>
            </w:r>
            <w:proofErr w:type="gramEnd"/>
            <w:r>
              <w:t>, indexing, high availability, point-in-time recovery</w:t>
            </w:r>
          </w:p>
        </w:tc>
        <w:tc>
          <w:tcPr>
            <w:tcW w:w="0" w:type="auto"/>
            <w:hideMark/>
          </w:tcPr>
          <w:p w14:paraId="35AC635D"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PostgreSQL; Microsoft SQL Server or Azure SQL; Oracle Database; Amazon Aurora; MySQL</w:t>
            </w:r>
          </w:p>
        </w:tc>
      </w:tr>
      <w:tr w:rsidR="00F43C3D" w14:paraId="388F32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4E0C0" w14:textId="77777777" w:rsidR="00F43C3D" w:rsidRDefault="00F43C3D">
            <w:pPr>
              <w:spacing w:after="160"/>
            </w:pPr>
            <w:r>
              <w:t>Operational Persistence</w:t>
            </w:r>
          </w:p>
        </w:tc>
        <w:tc>
          <w:tcPr>
            <w:tcW w:w="0" w:type="auto"/>
            <w:hideMark/>
          </w:tcPr>
          <w:p w14:paraId="7D3EE835"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Distributed SQL</w:t>
            </w:r>
          </w:p>
        </w:tc>
        <w:tc>
          <w:tcPr>
            <w:tcW w:w="0" w:type="auto"/>
            <w:hideMark/>
          </w:tcPr>
          <w:p w14:paraId="715F3DE0"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Horizontal scale, SQL semantics, strong consistency, multi-</w:t>
            </w:r>
            <w:r>
              <w:lastRenderedPageBreak/>
              <w:t>region resilience, online rebalancing</w:t>
            </w:r>
          </w:p>
        </w:tc>
        <w:tc>
          <w:tcPr>
            <w:tcW w:w="0" w:type="auto"/>
            <w:hideMark/>
          </w:tcPr>
          <w:p w14:paraId="6DD5A7B1"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lastRenderedPageBreak/>
              <w:t xml:space="preserve">Google Cloud Spanner; </w:t>
            </w:r>
            <w:proofErr w:type="spellStart"/>
            <w:r>
              <w:t>CockroachDB</w:t>
            </w:r>
            <w:proofErr w:type="spellEnd"/>
            <w:r>
              <w:t xml:space="preserve">; </w:t>
            </w:r>
            <w:proofErr w:type="spellStart"/>
            <w:r>
              <w:t>YugabyteDB</w:t>
            </w:r>
            <w:proofErr w:type="spellEnd"/>
            <w:r>
              <w:t xml:space="preserve">; Azure </w:t>
            </w:r>
            <w:r>
              <w:lastRenderedPageBreak/>
              <w:t>Cosmos DB for PostgreSQL</w:t>
            </w:r>
          </w:p>
        </w:tc>
      </w:tr>
      <w:tr w:rsidR="00F43C3D" w14:paraId="12C8740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881F293" w14:textId="77777777" w:rsidR="00F43C3D" w:rsidRDefault="00F43C3D">
            <w:pPr>
              <w:spacing w:after="160"/>
            </w:pPr>
            <w:r>
              <w:lastRenderedPageBreak/>
              <w:t>Operational Persistence</w:t>
            </w:r>
          </w:p>
        </w:tc>
        <w:tc>
          <w:tcPr>
            <w:tcW w:w="0" w:type="auto"/>
            <w:hideMark/>
          </w:tcPr>
          <w:p w14:paraId="5C43D727"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Document database</w:t>
            </w:r>
          </w:p>
        </w:tc>
        <w:tc>
          <w:tcPr>
            <w:tcW w:w="0" w:type="auto"/>
            <w:hideMark/>
          </w:tcPr>
          <w:p w14:paraId="31A1E6A2"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Flexible JSON model, aggregate storage, secondary indexes, partitioning, tunable consistency</w:t>
            </w:r>
          </w:p>
        </w:tc>
        <w:tc>
          <w:tcPr>
            <w:tcW w:w="0" w:type="auto"/>
            <w:hideMark/>
          </w:tcPr>
          <w:p w14:paraId="2B19AB2C"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MongoDB; Azure Cosmos DB; Amazon DocumentDB; Couchbase</w:t>
            </w:r>
          </w:p>
        </w:tc>
      </w:tr>
      <w:tr w:rsidR="00F43C3D" w14:paraId="746AA0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8F1FD" w14:textId="77777777" w:rsidR="00F43C3D" w:rsidRDefault="00F43C3D">
            <w:pPr>
              <w:spacing w:after="160"/>
            </w:pPr>
            <w:r>
              <w:t>Operational Persistence</w:t>
            </w:r>
          </w:p>
        </w:tc>
        <w:tc>
          <w:tcPr>
            <w:tcW w:w="0" w:type="auto"/>
            <w:hideMark/>
          </w:tcPr>
          <w:p w14:paraId="6B083386"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Key-value or wide-column store</w:t>
            </w:r>
          </w:p>
        </w:tc>
        <w:tc>
          <w:tcPr>
            <w:tcW w:w="0" w:type="auto"/>
            <w:hideMark/>
          </w:tcPr>
          <w:p w14:paraId="34AD99DC"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proofErr w:type="gramStart"/>
            <w:r>
              <w:t>High-throughput</w:t>
            </w:r>
            <w:proofErr w:type="gramEnd"/>
            <w:r>
              <w:t xml:space="preserve"> point access, partitioning, conditional writes, TTL, elastic scale</w:t>
            </w:r>
          </w:p>
        </w:tc>
        <w:tc>
          <w:tcPr>
            <w:tcW w:w="0" w:type="auto"/>
            <w:hideMark/>
          </w:tcPr>
          <w:p w14:paraId="02F46245"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Amazon DynamoDB; Apache Cassandra; Azure Cosmos DB; Google Cloud Bigtable</w:t>
            </w:r>
          </w:p>
        </w:tc>
      </w:tr>
      <w:tr w:rsidR="00F43C3D" w14:paraId="6C25A64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93618B" w14:textId="77777777" w:rsidR="00F43C3D" w:rsidRDefault="00F43C3D">
            <w:pPr>
              <w:spacing w:after="160"/>
            </w:pPr>
            <w:r>
              <w:t>Operational Persistence</w:t>
            </w:r>
          </w:p>
        </w:tc>
        <w:tc>
          <w:tcPr>
            <w:tcW w:w="0" w:type="auto"/>
            <w:hideMark/>
          </w:tcPr>
          <w:p w14:paraId="6611E03E"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Graph database</w:t>
            </w:r>
          </w:p>
        </w:tc>
        <w:tc>
          <w:tcPr>
            <w:tcW w:w="0" w:type="auto"/>
            <w:hideMark/>
          </w:tcPr>
          <w:p w14:paraId="56D4A70E"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Relationship traversal, path analysis, graph queries, graph algorithms, flexible relationships</w:t>
            </w:r>
          </w:p>
        </w:tc>
        <w:tc>
          <w:tcPr>
            <w:tcW w:w="0" w:type="auto"/>
            <w:hideMark/>
          </w:tcPr>
          <w:p w14:paraId="3719999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Neo4j; Amazon Neptune; Azure Cosmos DB Gremlin API; </w:t>
            </w:r>
            <w:proofErr w:type="spellStart"/>
            <w:r>
              <w:t>JanusGraph</w:t>
            </w:r>
            <w:proofErr w:type="spellEnd"/>
          </w:p>
        </w:tc>
      </w:tr>
      <w:tr w:rsidR="00F43C3D" w14:paraId="54A715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8874B" w14:textId="77777777" w:rsidR="00F43C3D" w:rsidRDefault="00F43C3D">
            <w:pPr>
              <w:spacing w:after="160"/>
            </w:pPr>
            <w:r>
              <w:t>Operational Persistence</w:t>
            </w:r>
          </w:p>
        </w:tc>
        <w:tc>
          <w:tcPr>
            <w:tcW w:w="0" w:type="auto"/>
            <w:hideMark/>
          </w:tcPr>
          <w:p w14:paraId="741B4D8A"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Time-series database</w:t>
            </w:r>
          </w:p>
        </w:tc>
        <w:tc>
          <w:tcPr>
            <w:tcW w:w="0" w:type="auto"/>
            <w:hideMark/>
          </w:tcPr>
          <w:p w14:paraId="567AACBB"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High-rate ingestion, time-window aggregation, compression, retention policies, </w:t>
            </w:r>
            <w:proofErr w:type="spellStart"/>
            <w:r>
              <w:t>downsampling</w:t>
            </w:r>
            <w:proofErr w:type="spellEnd"/>
          </w:p>
        </w:tc>
        <w:tc>
          <w:tcPr>
            <w:tcW w:w="0" w:type="auto"/>
            <w:hideMark/>
          </w:tcPr>
          <w:p w14:paraId="3B4156AE"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proofErr w:type="spellStart"/>
            <w:r>
              <w:t>TimescaleDB</w:t>
            </w:r>
            <w:proofErr w:type="spellEnd"/>
            <w:r>
              <w:t xml:space="preserve">; </w:t>
            </w:r>
            <w:proofErr w:type="spellStart"/>
            <w:r>
              <w:t>InfluxDB</w:t>
            </w:r>
            <w:proofErr w:type="spellEnd"/>
            <w:r>
              <w:t>; Amazon Timestream; Azure Data Explorer</w:t>
            </w:r>
          </w:p>
        </w:tc>
      </w:tr>
      <w:tr w:rsidR="00F43C3D" w14:paraId="5420D43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ECA8C5" w14:textId="77777777" w:rsidR="00F43C3D" w:rsidRDefault="00F43C3D">
            <w:pPr>
              <w:spacing w:after="160"/>
            </w:pPr>
            <w:r>
              <w:t>Operational Persistence</w:t>
            </w:r>
          </w:p>
        </w:tc>
        <w:tc>
          <w:tcPr>
            <w:tcW w:w="0" w:type="auto"/>
            <w:hideMark/>
          </w:tcPr>
          <w:p w14:paraId="1A1368AF"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Search and retrieval</w:t>
            </w:r>
          </w:p>
        </w:tc>
        <w:tc>
          <w:tcPr>
            <w:tcW w:w="0" w:type="auto"/>
            <w:hideMark/>
          </w:tcPr>
          <w:p w14:paraId="75A3B040"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Full-text indexing, relevance, faceting, filtering, near-real-time ingestion, vector-enabled retrieval where approved</w:t>
            </w:r>
          </w:p>
        </w:tc>
        <w:tc>
          <w:tcPr>
            <w:tcW w:w="0" w:type="auto"/>
            <w:hideMark/>
          </w:tcPr>
          <w:p w14:paraId="23AD8DAC"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Elasticsearch; OpenSearch; Azure AI Search; Apache </w:t>
            </w:r>
            <w:proofErr w:type="spellStart"/>
            <w:r>
              <w:t>Solr</w:t>
            </w:r>
            <w:proofErr w:type="spellEnd"/>
          </w:p>
        </w:tc>
      </w:tr>
      <w:tr w:rsidR="00F43C3D" w14:paraId="6D9E55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A9F9F" w14:textId="77777777" w:rsidR="00F43C3D" w:rsidRDefault="00F43C3D">
            <w:pPr>
              <w:spacing w:after="160"/>
            </w:pPr>
            <w:r>
              <w:t>Operational Persistence</w:t>
            </w:r>
          </w:p>
        </w:tc>
        <w:tc>
          <w:tcPr>
            <w:tcW w:w="0" w:type="auto"/>
            <w:hideMark/>
          </w:tcPr>
          <w:p w14:paraId="1D4A557B"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Distributed cache</w:t>
            </w:r>
          </w:p>
        </w:tc>
        <w:tc>
          <w:tcPr>
            <w:tcW w:w="0" w:type="auto"/>
            <w:hideMark/>
          </w:tcPr>
          <w:p w14:paraId="47BE046F"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Low-latency access, TTL, eviction, clustering, session storage, rate limiting</w:t>
            </w:r>
          </w:p>
        </w:tc>
        <w:tc>
          <w:tcPr>
            <w:tcW w:w="0" w:type="auto"/>
            <w:hideMark/>
          </w:tcPr>
          <w:p w14:paraId="5FBCEB5E"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Redis; Azure Managed Redis; Amazon ElastiCache; Memcached</w:t>
            </w:r>
          </w:p>
        </w:tc>
      </w:tr>
      <w:tr w:rsidR="00F43C3D" w14:paraId="729D4C8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37A6D8" w14:textId="77777777" w:rsidR="00F43C3D" w:rsidRDefault="00F43C3D">
            <w:pPr>
              <w:spacing w:after="160"/>
            </w:pPr>
            <w:r>
              <w:t>Operational Persistence</w:t>
            </w:r>
          </w:p>
        </w:tc>
        <w:tc>
          <w:tcPr>
            <w:tcW w:w="0" w:type="auto"/>
            <w:hideMark/>
          </w:tcPr>
          <w:p w14:paraId="6808AF8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Event store</w:t>
            </w:r>
          </w:p>
        </w:tc>
        <w:tc>
          <w:tcPr>
            <w:tcW w:w="0" w:type="auto"/>
            <w:hideMark/>
          </w:tcPr>
          <w:p w14:paraId="30424F51"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Immutable event history, optimistic concurrency, ordered streams, replay, projections</w:t>
            </w:r>
          </w:p>
        </w:tc>
        <w:tc>
          <w:tcPr>
            <w:tcW w:w="0" w:type="auto"/>
            <w:hideMark/>
          </w:tcPr>
          <w:p w14:paraId="7AE9B3A2"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proofErr w:type="spellStart"/>
            <w:r>
              <w:t>EventStoreDB</w:t>
            </w:r>
            <w:proofErr w:type="spellEnd"/>
            <w:r>
              <w:t>; Kafka with compacted topics; Axon Server; purpose-built append-only storage</w:t>
            </w:r>
          </w:p>
        </w:tc>
      </w:tr>
      <w:tr w:rsidR="00F43C3D" w14:paraId="7BC36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EC36C" w14:textId="77777777" w:rsidR="00F43C3D" w:rsidRDefault="00F43C3D">
            <w:pPr>
              <w:spacing w:after="160"/>
            </w:pPr>
            <w:r>
              <w:t>Data Movement</w:t>
            </w:r>
          </w:p>
        </w:tc>
        <w:tc>
          <w:tcPr>
            <w:tcW w:w="0" w:type="auto"/>
            <w:hideMark/>
          </w:tcPr>
          <w:p w14:paraId="5AEBC5FF"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Change data capture</w:t>
            </w:r>
          </w:p>
        </w:tc>
        <w:tc>
          <w:tcPr>
            <w:tcW w:w="0" w:type="auto"/>
            <w:hideMark/>
          </w:tcPr>
          <w:p w14:paraId="2217B795"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Log-based capture, low-impact replication, </w:t>
            </w:r>
            <w:r>
              <w:lastRenderedPageBreak/>
              <w:t>schema evolution, ordering, checkpointing</w:t>
            </w:r>
          </w:p>
        </w:tc>
        <w:tc>
          <w:tcPr>
            <w:tcW w:w="0" w:type="auto"/>
            <w:hideMark/>
          </w:tcPr>
          <w:p w14:paraId="02EA90D8"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proofErr w:type="spellStart"/>
            <w:r>
              <w:lastRenderedPageBreak/>
              <w:t>Debezium</w:t>
            </w:r>
            <w:proofErr w:type="spellEnd"/>
            <w:r>
              <w:t xml:space="preserve">; Kafka Connect; Oracle </w:t>
            </w:r>
            <w:proofErr w:type="spellStart"/>
            <w:r>
              <w:t>GoldenGate</w:t>
            </w:r>
            <w:proofErr w:type="spellEnd"/>
            <w:r>
              <w:t xml:space="preserve">; AWS Database Migration </w:t>
            </w:r>
            <w:r>
              <w:lastRenderedPageBreak/>
              <w:t>Service; Azure Data Factory CDC</w:t>
            </w:r>
          </w:p>
        </w:tc>
      </w:tr>
      <w:tr w:rsidR="00F43C3D" w14:paraId="2B49850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3491ECE" w14:textId="77777777" w:rsidR="00F43C3D" w:rsidRDefault="00F43C3D">
            <w:pPr>
              <w:spacing w:after="160"/>
            </w:pPr>
            <w:r>
              <w:lastRenderedPageBreak/>
              <w:t>Data Movement</w:t>
            </w:r>
          </w:p>
        </w:tc>
        <w:tc>
          <w:tcPr>
            <w:tcW w:w="0" w:type="auto"/>
            <w:hideMark/>
          </w:tcPr>
          <w:p w14:paraId="772F7E27"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Pipeline and orchestration</w:t>
            </w:r>
          </w:p>
        </w:tc>
        <w:tc>
          <w:tcPr>
            <w:tcW w:w="0" w:type="auto"/>
            <w:hideMark/>
          </w:tcPr>
          <w:p w14:paraId="74079CA5"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ETL/ELT, dependency management, retries, lineage hooks, scheduling, data-quality gates</w:t>
            </w:r>
          </w:p>
        </w:tc>
        <w:tc>
          <w:tcPr>
            <w:tcW w:w="0" w:type="auto"/>
            <w:hideMark/>
          </w:tcPr>
          <w:p w14:paraId="63115728"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Apache Airflow; Azure Data Factory; AWS Glue; Databricks Workflows; </w:t>
            </w:r>
            <w:proofErr w:type="spellStart"/>
            <w:r>
              <w:t>dbt</w:t>
            </w:r>
            <w:proofErr w:type="spellEnd"/>
          </w:p>
        </w:tc>
      </w:tr>
      <w:tr w:rsidR="00F43C3D" w14:paraId="28ED35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236AA" w14:textId="77777777" w:rsidR="00F43C3D" w:rsidRDefault="00F43C3D">
            <w:pPr>
              <w:spacing w:after="160"/>
            </w:pPr>
            <w:r>
              <w:t>Analytical Persistence</w:t>
            </w:r>
          </w:p>
        </w:tc>
        <w:tc>
          <w:tcPr>
            <w:tcW w:w="0" w:type="auto"/>
            <w:hideMark/>
          </w:tcPr>
          <w:p w14:paraId="2477E3AA"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Object storage and lake</w:t>
            </w:r>
          </w:p>
        </w:tc>
        <w:tc>
          <w:tcPr>
            <w:tcW w:w="0" w:type="auto"/>
            <w:hideMark/>
          </w:tcPr>
          <w:p w14:paraId="2665A44F"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Low-cost durable storage, open formats, lifecycle </w:t>
            </w:r>
            <w:proofErr w:type="gramStart"/>
            <w:r>
              <w:t>tiers</w:t>
            </w:r>
            <w:proofErr w:type="gramEnd"/>
            <w:r>
              <w:t>, versioning, immutability, large-scale ingestion</w:t>
            </w:r>
          </w:p>
        </w:tc>
        <w:tc>
          <w:tcPr>
            <w:tcW w:w="0" w:type="auto"/>
            <w:hideMark/>
          </w:tcPr>
          <w:p w14:paraId="245D4357"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Azure Data Lake Storage; Amazon S3; Google Cloud Storage; Apache Parquet; Apache Iceberg or Delta Lake</w:t>
            </w:r>
          </w:p>
        </w:tc>
      </w:tr>
      <w:tr w:rsidR="00F43C3D" w14:paraId="6304D7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38A0FA" w14:textId="77777777" w:rsidR="00F43C3D" w:rsidRDefault="00F43C3D">
            <w:pPr>
              <w:spacing w:after="160"/>
            </w:pPr>
            <w:r>
              <w:t>Analytical Persistence</w:t>
            </w:r>
          </w:p>
        </w:tc>
        <w:tc>
          <w:tcPr>
            <w:tcW w:w="0" w:type="auto"/>
            <w:hideMark/>
          </w:tcPr>
          <w:p w14:paraId="2A845F0E"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Lakehouse or warehouse</w:t>
            </w:r>
          </w:p>
        </w:tc>
        <w:tc>
          <w:tcPr>
            <w:tcW w:w="0" w:type="auto"/>
            <w:hideMark/>
          </w:tcPr>
          <w:p w14:paraId="333F5376"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Columnar analytics, workload isolation, governed SQL, elastic compute, semantic integration</w:t>
            </w:r>
          </w:p>
        </w:tc>
        <w:tc>
          <w:tcPr>
            <w:tcW w:w="0" w:type="auto"/>
            <w:hideMark/>
          </w:tcPr>
          <w:p w14:paraId="1F719243"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Databricks; Snowflake; Microsoft Fabric or Synapse; Amazon Redshift; Google </w:t>
            </w:r>
            <w:proofErr w:type="spellStart"/>
            <w:r>
              <w:t>BigQuery</w:t>
            </w:r>
            <w:proofErr w:type="spellEnd"/>
          </w:p>
        </w:tc>
      </w:tr>
      <w:tr w:rsidR="00F43C3D" w14:paraId="2EDE5B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293F5" w14:textId="77777777" w:rsidR="00F43C3D" w:rsidRDefault="00F43C3D">
            <w:pPr>
              <w:spacing w:after="160"/>
            </w:pPr>
            <w:r>
              <w:t>Analytical and AI</w:t>
            </w:r>
          </w:p>
        </w:tc>
        <w:tc>
          <w:tcPr>
            <w:tcW w:w="0" w:type="auto"/>
            <w:hideMark/>
          </w:tcPr>
          <w:p w14:paraId="02B2F27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Semantic, feature, and vector services</w:t>
            </w:r>
          </w:p>
        </w:tc>
        <w:tc>
          <w:tcPr>
            <w:tcW w:w="0" w:type="auto"/>
            <w:hideMark/>
          </w:tcPr>
          <w:p w14:paraId="260BF47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Reusable metrics, governed features, offline/online consistency, embeddings, retrieval controls</w:t>
            </w:r>
          </w:p>
        </w:tc>
        <w:tc>
          <w:tcPr>
            <w:tcW w:w="0" w:type="auto"/>
            <w:hideMark/>
          </w:tcPr>
          <w:p w14:paraId="33ADD558"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Power BI semantic models; </w:t>
            </w:r>
            <w:proofErr w:type="spellStart"/>
            <w:r>
              <w:t>dbt</w:t>
            </w:r>
            <w:proofErr w:type="spellEnd"/>
            <w:r>
              <w:t xml:space="preserve"> Semantic Layer; Feast; Databricks Feature Store; </w:t>
            </w:r>
            <w:proofErr w:type="spellStart"/>
            <w:r>
              <w:t>pgvector</w:t>
            </w:r>
            <w:proofErr w:type="spellEnd"/>
            <w:r>
              <w:t>; managed vector search</w:t>
            </w:r>
          </w:p>
        </w:tc>
      </w:tr>
      <w:tr w:rsidR="00F43C3D" w14:paraId="6C507E1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5E73C6" w14:textId="77777777" w:rsidR="00F43C3D" w:rsidRDefault="00F43C3D">
            <w:pPr>
              <w:spacing w:after="160"/>
            </w:pPr>
            <w:r>
              <w:t>Control Plane</w:t>
            </w:r>
          </w:p>
        </w:tc>
        <w:tc>
          <w:tcPr>
            <w:tcW w:w="0" w:type="auto"/>
            <w:hideMark/>
          </w:tcPr>
          <w:p w14:paraId="798C332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Identity, secrets, and key management</w:t>
            </w:r>
          </w:p>
        </w:tc>
        <w:tc>
          <w:tcPr>
            <w:tcW w:w="0" w:type="auto"/>
            <w:hideMark/>
          </w:tcPr>
          <w:p w14:paraId="1292DF7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Workload identity, RBAC, credential rotation, encryption keys, privileged access, audit</w:t>
            </w:r>
          </w:p>
        </w:tc>
        <w:tc>
          <w:tcPr>
            <w:tcW w:w="0" w:type="auto"/>
            <w:hideMark/>
          </w:tcPr>
          <w:p w14:paraId="2793CDF2"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 xml:space="preserve">Microsoft Entra ID and Key Vault; AWS IAM, Secrets Manager, and KMS; </w:t>
            </w:r>
            <w:proofErr w:type="spellStart"/>
            <w:r>
              <w:t>HashiCorp</w:t>
            </w:r>
            <w:proofErr w:type="spellEnd"/>
            <w:r>
              <w:t xml:space="preserve"> Vault; Google Cloud IAM and KMS</w:t>
            </w:r>
          </w:p>
        </w:tc>
      </w:tr>
      <w:tr w:rsidR="00F43C3D" w14:paraId="42BB95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28655" w14:textId="77777777" w:rsidR="00F43C3D" w:rsidRDefault="00F43C3D">
            <w:pPr>
              <w:spacing w:after="160"/>
            </w:pPr>
            <w:r>
              <w:t>Control Plane</w:t>
            </w:r>
          </w:p>
        </w:tc>
        <w:tc>
          <w:tcPr>
            <w:tcW w:w="0" w:type="auto"/>
            <w:hideMark/>
          </w:tcPr>
          <w:p w14:paraId="66E8517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Metadata, catalog, and governance</w:t>
            </w:r>
          </w:p>
        </w:tc>
        <w:tc>
          <w:tcPr>
            <w:tcW w:w="0" w:type="auto"/>
            <w:hideMark/>
          </w:tcPr>
          <w:p w14:paraId="7989C287"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Discovery, ownership, classification, lineage, glossary, policy, quality metadata</w:t>
            </w:r>
          </w:p>
        </w:tc>
        <w:tc>
          <w:tcPr>
            <w:tcW w:w="0" w:type="auto"/>
            <w:hideMark/>
          </w:tcPr>
          <w:p w14:paraId="34F8AAC2"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Microsoft Purview; Collibra; Alation; Apache Atlas; </w:t>
            </w:r>
            <w:proofErr w:type="spellStart"/>
            <w:r>
              <w:t>DataHub</w:t>
            </w:r>
            <w:proofErr w:type="spellEnd"/>
            <w:r>
              <w:t>; cloud-native catalogs</w:t>
            </w:r>
          </w:p>
        </w:tc>
      </w:tr>
      <w:tr w:rsidR="00F43C3D" w14:paraId="422818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16C5585" w14:textId="77777777" w:rsidR="00F43C3D" w:rsidRDefault="00F43C3D">
            <w:pPr>
              <w:spacing w:after="160"/>
            </w:pPr>
            <w:r>
              <w:t>Control Plane</w:t>
            </w:r>
          </w:p>
        </w:tc>
        <w:tc>
          <w:tcPr>
            <w:tcW w:w="0" w:type="auto"/>
            <w:hideMark/>
          </w:tcPr>
          <w:p w14:paraId="24198B56"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Observability and operations</w:t>
            </w:r>
          </w:p>
        </w:tc>
        <w:tc>
          <w:tcPr>
            <w:tcW w:w="0" w:type="auto"/>
            <w:hideMark/>
          </w:tcPr>
          <w:p w14:paraId="030328AE"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Metrics, logs, traces, query insights, capacity, replication lag, alerts, service-level reporting</w:t>
            </w:r>
          </w:p>
        </w:tc>
        <w:tc>
          <w:tcPr>
            <w:tcW w:w="0" w:type="auto"/>
            <w:hideMark/>
          </w:tcPr>
          <w:p w14:paraId="2B3C44CC"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proofErr w:type="spellStart"/>
            <w:r>
              <w:t>OpenTelemetry</w:t>
            </w:r>
            <w:proofErr w:type="spellEnd"/>
            <w:r>
              <w:t>; Prometheus and Grafana; Azure Monitor; Amazon CloudWatch; Datadog; Splunk</w:t>
            </w:r>
          </w:p>
        </w:tc>
      </w:tr>
      <w:tr w:rsidR="00F43C3D" w14:paraId="0244E9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7C280" w14:textId="77777777" w:rsidR="00F43C3D" w:rsidRDefault="00F43C3D">
            <w:pPr>
              <w:spacing w:after="160"/>
            </w:pPr>
            <w:r>
              <w:lastRenderedPageBreak/>
              <w:t>Platform Engineering</w:t>
            </w:r>
          </w:p>
        </w:tc>
        <w:tc>
          <w:tcPr>
            <w:tcW w:w="0" w:type="auto"/>
            <w:hideMark/>
          </w:tcPr>
          <w:p w14:paraId="36FD6292"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Infrastructure and policy automation</w:t>
            </w:r>
          </w:p>
        </w:tc>
        <w:tc>
          <w:tcPr>
            <w:tcW w:w="0" w:type="auto"/>
            <w:hideMark/>
          </w:tcPr>
          <w:p w14:paraId="31BB4C1D"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Repeatable provisioning, configuration drift control, policy as code, CI/CD, evidence generation</w:t>
            </w:r>
          </w:p>
        </w:tc>
        <w:tc>
          <w:tcPr>
            <w:tcW w:w="0" w:type="auto"/>
            <w:hideMark/>
          </w:tcPr>
          <w:p w14:paraId="7963BC8A"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 xml:space="preserve">Terraform or </w:t>
            </w:r>
            <w:proofErr w:type="spellStart"/>
            <w:r>
              <w:t>OpenTofu</w:t>
            </w:r>
            <w:proofErr w:type="spellEnd"/>
            <w:r>
              <w:t xml:space="preserve">; Bicep; AWS CloudFormation; Ansible; GitHub Actions; Azure DevOps; OPA or </w:t>
            </w:r>
            <w:proofErr w:type="spellStart"/>
            <w:r>
              <w:t>Kyverno</w:t>
            </w:r>
            <w:proofErr w:type="spellEnd"/>
          </w:p>
        </w:tc>
      </w:tr>
      <w:tr w:rsidR="00F43C3D" w14:paraId="2746874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B80446" w14:textId="77777777" w:rsidR="00F43C3D" w:rsidRDefault="00F43C3D">
            <w:pPr>
              <w:spacing w:after="160"/>
            </w:pPr>
            <w:r>
              <w:t>Resilience and Lifecycle</w:t>
            </w:r>
          </w:p>
        </w:tc>
        <w:tc>
          <w:tcPr>
            <w:tcW w:w="0" w:type="auto"/>
            <w:hideMark/>
          </w:tcPr>
          <w:p w14:paraId="3688B338"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Backup, recovery, archive, and deletion</w:t>
            </w:r>
          </w:p>
        </w:tc>
        <w:tc>
          <w:tcPr>
            <w:tcW w:w="0" w:type="auto"/>
            <w:hideMark/>
          </w:tcPr>
          <w:p w14:paraId="35504841"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Point-in-time recovery, immutable backup, cross-region copy, restore testing, retention, legal hold, defensible deletion</w:t>
            </w:r>
          </w:p>
        </w:tc>
        <w:tc>
          <w:tcPr>
            <w:tcW w:w="0" w:type="auto"/>
            <w:hideMark/>
          </w:tcPr>
          <w:p w14:paraId="63F0C871"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Database-native backup services; cloud backup vaults; object-storage archive tiers; enterprise backup platforms</w:t>
            </w:r>
          </w:p>
        </w:tc>
      </w:tr>
    </w:tbl>
    <w:p w14:paraId="19DC5171" w14:textId="77777777" w:rsidR="00F43C3D" w:rsidRDefault="00F43C3D"/>
    <w:p w14:paraId="1A900517" w14:textId="77777777" w:rsidR="00F43C3D" w:rsidRDefault="00F43C3D">
      <w:r>
        <w:rPr>
          <w:b/>
          <w:bCs/>
        </w:rPr>
        <w:t>Selection guidance:</w:t>
      </w:r>
      <w:r>
        <w:t xml:space="preserve"> Treat these products as representative options, not a mandatory bill of materials. Standardize a </w:t>
      </w:r>
      <w:proofErr w:type="gramStart"/>
      <w:r>
        <w:t>small approved</w:t>
      </w:r>
      <w:proofErr w:type="gramEnd"/>
      <w:r>
        <w:t xml:space="preserve"> portfolio for common workloads, require evidence for exceptions, and avoid introducing a new platform when an existing approved service satisfies the measurable requirements.</w:t>
      </w:r>
    </w:p>
    <w:p w14:paraId="3B611529" w14:textId="77777777" w:rsidR="00F43C3D" w:rsidRDefault="00F43C3D">
      <w:pPr>
        <w:pStyle w:val="Heading1"/>
        <w:rPr>
          <w:rFonts w:cstheme="minorBidi"/>
        </w:rPr>
      </w:pPr>
      <w:r>
        <w:rPr>
          <w:rFonts w:cstheme="minorBidi"/>
        </w:rPr>
        <w:t>4. Technology Decision Framework</w:t>
      </w:r>
    </w:p>
    <w:tbl>
      <w:tblPr>
        <w:tblStyle w:val="GridTable4-Accent1"/>
        <w:tblW w:w="5000" w:type="pct"/>
        <w:tblLook w:val="04A0" w:firstRow="1" w:lastRow="0" w:firstColumn="1" w:lastColumn="0" w:noHBand="0" w:noVBand="1"/>
      </w:tblPr>
      <w:tblGrid>
        <w:gridCol w:w="2937"/>
        <w:gridCol w:w="2429"/>
        <w:gridCol w:w="3984"/>
      </w:tblGrid>
      <w:tr w:rsidR="00F43C3D" w14:paraId="3BAF11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5E4AC" w14:textId="77777777" w:rsidR="00F43C3D" w:rsidRDefault="00F43C3D">
            <w:pPr>
              <w:spacing w:after="160"/>
            </w:pPr>
            <w:r>
              <w:t>Workload Signal</w:t>
            </w:r>
          </w:p>
        </w:tc>
        <w:tc>
          <w:tcPr>
            <w:tcW w:w="0" w:type="auto"/>
            <w:hideMark/>
          </w:tcPr>
          <w:p w14:paraId="28226E55"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Default Candidate</w:t>
            </w:r>
          </w:p>
        </w:tc>
        <w:tc>
          <w:tcPr>
            <w:tcW w:w="0" w:type="auto"/>
            <w:hideMark/>
          </w:tcPr>
          <w:p w14:paraId="4BEF702B"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Key Validation</w:t>
            </w:r>
          </w:p>
        </w:tc>
      </w:tr>
      <w:tr w:rsidR="00F43C3D" w14:paraId="3256C7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A4900" w14:textId="77777777" w:rsidR="00F43C3D" w:rsidRDefault="00F43C3D">
            <w:pPr>
              <w:spacing w:after="160"/>
            </w:pPr>
            <w:r>
              <w:t xml:space="preserve">Strong transactions, </w:t>
            </w:r>
            <w:proofErr w:type="gramStart"/>
            <w:r>
              <w:t>joins</w:t>
            </w:r>
            <w:proofErr w:type="gramEnd"/>
            <w:r>
              <w:t>, integrity</w:t>
            </w:r>
          </w:p>
        </w:tc>
        <w:tc>
          <w:tcPr>
            <w:tcW w:w="0" w:type="auto"/>
            <w:hideMark/>
          </w:tcPr>
          <w:p w14:paraId="2ADF5DF1"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Relational or distributed SQL</w:t>
            </w:r>
          </w:p>
        </w:tc>
        <w:tc>
          <w:tcPr>
            <w:tcW w:w="0" w:type="auto"/>
            <w:hideMark/>
          </w:tcPr>
          <w:p w14:paraId="5623B15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Isolation, schema evolution, scale-up/out, licensing</w:t>
            </w:r>
          </w:p>
        </w:tc>
      </w:tr>
      <w:tr w:rsidR="00F43C3D" w14:paraId="2D6BF96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6434B5E" w14:textId="77777777" w:rsidR="00F43C3D" w:rsidRDefault="00F43C3D">
            <w:pPr>
              <w:spacing w:after="160"/>
            </w:pPr>
            <w:r>
              <w:t>Flexible aggregates and JSON access</w:t>
            </w:r>
          </w:p>
        </w:tc>
        <w:tc>
          <w:tcPr>
            <w:tcW w:w="0" w:type="auto"/>
            <w:hideMark/>
          </w:tcPr>
          <w:p w14:paraId="1EAF24CD"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Document database</w:t>
            </w:r>
          </w:p>
        </w:tc>
        <w:tc>
          <w:tcPr>
            <w:tcW w:w="0" w:type="auto"/>
            <w:hideMark/>
          </w:tcPr>
          <w:p w14:paraId="4023832C"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Query patterns, document growth, indexing, consistency</w:t>
            </w:r>
          </w:p>
        </w:tc>
      </w:tr>
      <w:tr w:rsidR="00F43C3D" w14:paraId="238719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B32F8" w14:textId="77777777" w:rsidR="00F43C3D" w:rsidRDefault="00F43C3D">
            <w:pPr>
              <w:spacing w:after="160"/>
            </w:pPr>
            <w:r>
              <w:t>Very high-volume point reads/writes</w:t>
            </w:r>
          </w:p>
        </w:tc>
        <w:tc>
          <w:tcPr>
            <w:tcW w:w="0" w:type="auto"/>
            <w:hideMark/>
          </w:tcPr>
          <w:p w14:paraId="39EF0C11"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Key-value or wide-column store</w:t>
            </w:r>
          </w:p>
        </w:tc>
        <w:tc>
          <w:tcPr>
            <w:tcW w:w="0" w:type="auto"/>
            <w:hideMark/>
          </w:tcPr>
          <w:p w14:paraId="22AEB5F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Partition key, hot spots, conditional writes, TTL</w:t>
            </w:r>
          </w:p>
        </w:tc>
      </w:tr>
      <w:tr w:rsidR="00F43C3D" w14:paraId="2A086EC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FB3D9F" w14:textId="77777777" w:rsidR="00F43C3D" w:rsidRDefault="00F43C3D">
            <w:pPr>
              <w:spacing w:after="160"/>
            </w:pPr>
            <w:r>
              <w:t>Relationship traversal</w:t>
            </w:r>
          </w:p>
        </w:tc>
        <w:tc>
          <w:tcPr>
            <w:tcW w:w="0" w:type="auto"/>
            <w:hideMark/>
          </w:tcPr>
          <w:p w14:paraId="1177B50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Graph database</w:t>
            </w:r>
          </w:p>
        </w:tc>
        <w:tc>
          <w:tcPr>
            <w:tcW w:w="0" w:type="auto"/>
            <w:hideMark/>
          </w:tcPr>
          <w:p w14:paraId="3868DD8E"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Traversal depth, update rate, graph query support</w:t>
            </w:r>
          </w:p>
        </w:tc>
      </w:tr>
      <w:tr w:rsidR="00F43C3D" w14:paraId="1095D8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E61C5" w14:textId="77777777" w:rsidR="00F43C3D" w:rsidRDefault="00F43C3D">
            <w:pPr>
              <w:spacing w:after="160"/>
            </w:pPr>
            <w:r>
              <w:t>Metrics or ordered telemetry</w:t>
            </w:r>
          </w:p>
        </w:tc>
        <w:tc>
          <w:tcPr>
            <w:tcW w:w="0" w:type="auto"/>
            <w:hideMark/>
          </w:tcPr>
          <w:p w14:paraId="1149931E"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Time-series database</w:t>
            </w:r>
          </w:p>
        </w:tc>
        <w:tc>
          <w:tcPr>
            <w:tcW w:w="0" w:type="auto"/>
            <w:hideMark/>
          </w:tcPr>
          <w:p w14:paraId="4E9DA37D"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Ingestion rate, retention tiers, aggregation windows</w:t>
            </w:r>
          </w:p>
        </w:tc>
      </w:tr>
      <w:tr w:rsidR="00F43C3D" w14:paraId="2F12BB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8FB07D" w14:textId="77777777" w:rsidR="00F43C3D" w:rsidRDefault="00F43C3D">
            <w:pPr>
              <w:spacing w:after="160"/>
            </w:pPr>
            <w:r>
              <w:t>Full-text discovery</w:t>
            </w:r>
          </w:p>
        </w:tc>
        <w:tc>
          <w:tcPr>
            <w:tcW w:w="0" w:type="auto"/>
            <w:hideMark/>
          </w:tcPr>
          <w:p w14:paraId="267285DA"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Search index</w:t>
            </w:r>
          </w:p>
        </w:tc>
        <w:tc>
          <w:tcPr>
            <w:tcW w:w="0" w:type="auto"/>
            <w:hideMark/>
          </w:tcPr>
          <w:p w14:paraId="1285B8E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Index freshness, relevance, source-of-truth boundaries</w:t>
            </w:r>
          </w:p>
        </w:tc>
      </w:tr>
      <w:tr w:rsidR="00F43C3D" w14:paraId="0C2EEC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65778" w14:textId="77777777" w:rsidR="00F43C3D" w:rsidRDefault="00F43C3D">
            <w:pPr>
              <w:spacing w:after="160"/>
            </w:pPr>
            <w:r>
              <w:t>Sub-millisecond repeated access</w:t>
            </w:r>
          </w:p>
        </w:tc>
        <w:tc>
          <w:tcPr>
            <w:tcW w:w="0" w:type="auto"/>
            <w:hideMark/>
          </w:tcPr>
          <w:p w14:paraId="147692E7"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Distributed cache</w:t>
            </w:r>
          </w:p>
        </w:tc>
        <w:tc>
          <w:tcPr>
            <w:tcW w:w="0" w:type="auto"/>
            <w:hideMark/>
          </w:tcPr>
          <w:p w14:paraId="23EE6895"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Eviction, invalidation, durability expectations</w:t>
            </w:r>
          </w:p>
        </w:tc>
      </w:tr>
      <w:tr w:rsidR="00F43C3D" w14:paraId="3618BD0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37ACEE" w14:textId="77777777" w:rsidR="00F43C3D" w:rsidRDefault="00F43C3D">
            <w:pPr>
              <w:spacing w:after="160"/>
            </w:pPr>
            <w:r>
              <w:lastRenderedPageBreak/>
              <w:t>Large-scale analytics</w:t>
            </w:r>
          </w:p>
        </w:tc>
        <w:tc>
          <w:tcPr>
            <w:tcW w:w="0" w:type="auto"/>
            <w:hideMark/>
          </w:tcPr>
          <w:p w14:paraId="15F21043"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Lakehouse or warehouse</w:t>
            </w:r>
          </w:p>
        </w:tc>
        <w:tc>
          <w:tcPr>
            <w:tcW w:w="0" w:type="auto"/>
            <w:hideMark/>
          </w:tcPr>
          <w:p w14:paraId="0266A01A"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Concurrency, governance, open formats, workload isolation</w:t>
            </w:r>
          </w:p>
        </w:tc>
      </w:tr>
      <w:tr w:rsidR="00F43C3D" w14:paraId="1B6C5C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9204B" w14:textId="77777777" w:rsidR="00F43C3D" w:rsidRDefault="00F43C3D">
            <w:pPr>
              <w:spacing w:after="160"/>
            </w:pPr>
            <w:r>
              <w:t>Immutable event history</w:t>
            </w:r>
          </w:p>
        </w:tc>
        <w:tc>
          <w:tcPr>
            <w:tcW w:w="0" w:type="auto"/>
            <w:hideMark/>
          </w:tcPr>
          <w:p w14:paraId="54F8D129"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Event store plus projections</w:t>
            </w:r>
          </w:p>
        </w:tc>
        <w:tc>
          <w:tcPr>
            <w:tcW w:w="0" w:type="auto"/>
            <w:hideMark/>
          </w:tcPr>
          <w:p w14:paraId="687CEBBB"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Replay, ordering, idempotency, retention, versioning</w:t>
            </w:r>
          </w:p>
        </w:tc>
      </w:tr>
    </w:tbl>
    <w:p w14:paraId="59BF7176" w14:textId="77777777" w:rsidR="00F43C3D" w:rsidRDefault="00F43C3D"/>
    <w:p w14:paraId="5809C179" w14:textId="77777777" w:rsidR="00F43C3D" w:rsidRDefault="00F43C3D">
      <w:pPr>
        <w:pStyle w:val="Heading2"/>
        <w:rPr>
          <w:rFonts w:cstheme="minorBidi"/>
        </w:rPr>
      </w:pPr>
      <w:r>
        <w:rPr>
          <w:rFonts w:cstheme="minorBidi"/>
        </w:rPr>
        <w:t>Mandatory Decision Gates</w:t>
      </w:r>
    </w:p>
    <w:p w14:paraId="306B577F" w14:textId="77777777" w:rsidR="00F43C3D" w:rsidRDefault="00F43C3D" w:rsidP="00F43C3D">
      <w:pPr>
        <w:pStyle w:val="ListParagraph"/>
        <w:numPr>
          <w:ilvl w:val="0"/>
          <w:numId w:val="3"/>
        </w:numPr>
      </w:pPr>
      <w:r>
        <w:t>Business criticality, data classification, residency, and regulatory obligations are recorded.</w:t>
      </w:r>
    </w:p>
    <w:p w14:paraId="210865E6" w14:textId="77777777" w:rsidR="00F43C3D" w:rsidRDefault="00F43C3D" w:rsidP="00F43C3D">
      <w:pPr>
        <w:pStyle w:val="ListParagraph"/>
        <w:numPr>
          <w:ilvl w:val="0"/>
          <w:numId w:val="3"/>
        </w:numPr>
      </w:pPr>
      <w:r>
        <w:t>Read/write patterns, expected growth, peak throughput, latency, consistency, and availability are quantified.</w:t>
      </w:r>
    </w:p>
    <w:p w14:paraId="5A39FC53" w14:textId="77777777" w:rsidR="00F43C3D" w:rsidRDefault="00F43C3D" w:rsidP="00F43C3D">
      <w:pPr>
        <w:pStyle w:val="ListParagraph"/>
        <w:numPr>
          <w:ilvl w:val="0"/>
          <w:numId w:val="3"/>
        </w:numPr>
      </w:pPr>
      <w:r>
        <w:t>Recovery time objective (RTO), recovery point objective (RPO), backup retention, and restore testing are approved.</w:t>
      </w:r>
    </w:p>
    <w:p w14:paraId="7D91D8D6" w14:textId="77777777" w:rsidR="00F43C3D" w:rsidRDefault="00F43C3D" w:rsidP="00F43C3D">
      <w:pPr>
        <w:pStyle w:val="ListParagraph"/>
        <w:numPr>
          <w:ilvl w:val="0"/>
          <w:numId w:val="3"/>
        </w:numPr>
      </w:pPr>
      <w:r>
        <w:t>Total cost is estimated for steady state, peak demand, data transfer, operations, and non-production environments.</w:t>
      </w:r>
    </w:p>
    <w:p w14:paraId="5F387E08" w14:textId="77777777" w:rsidR="00F43C3D" w:rsidRDefault="00F43C3D" w:rsidP="00F43C3D">
      <w:pPr>
        <w:pStyle w:val="ListParagraph"/>
        <w:numPr>
          <w:ilvl w:val="0"/>
          <w:numId w:val="3"/>
        </w:numPr>
      </w:pPr>
      <w:r>
        <w:t>Exit strategy, portability, migration approach, and skills requirements are documented.</w:t>
      </w:r>
    </w:p>
    <w:p w14:paraId="1547CF27" w14:textId="77777777" w:rsidR="00F43C3D" w:rsidRDefault="00F43C3D" w:rsidP="00F43C3D">
      <w:pPr>
        <w:pStyle w:val="ListParagraph"/>
        <w:numPr>
          <w:ilvl w:val="0"/>
          <w:numId w:val="3"/>
        </w:numPr>
      </w:pPr>
      <w:proofErr w:type="gramStart"/>
      <w:r>
        <w:t>A proof</w:t>
      </w:r>
      <w:proofErr w:type="gramEnd"/>
      <w:r>
        <w:t xml:space="preserve"> of value validates the highest-risk assumptions using production-like data volume and concurrency.</w:t>
      </w:r>
    </w:p>
    <w:p w14:paraId="5567171A" w14:textId="77777777" w:rsidR="00F43C3D" w:rsidRDefault="00F43C3D">
      <w:pPr>
        <w:pStyle w:val="Heading1"/>
        <w:rPr>
          <w:rFonts w:cstheme="minorBidi"/>
        </w:rPr>
      </w:pPr>
      <w:r>
        <w:rPr>
          <w:rFonts w:cstheme="minorBidi"/>
        </w:rPr>
        <w:t>5. Engineering Standards</w:t>
      </w:r>
    </w:p>
    <w:p w14:paraId="7EB0010D" w14:textId="77777777" w:rsidR="00F43C3D" w:rsidRDefault="00F43C3D">
      <w:pPr>
        <w:pStyle w:val="Heading2"/>
        <w:rPr>
          <w:rFonts w:cstheme="minorBidi"/>
        </w:rPr>
      </w:pPr>
      <w:r>
        <w:rPr>
          <w:rFonts w:cstheme="minorBidi"/>
        </w:rPr>
        <w:t>Data Modeling and Access</w:t>
      </w:r>
    </w:p>
    <w:p w14:paraId="5A8F4D98" w14:textId="77777777" w:rsidR="00F43C3D" w:rsidRDefault="00F43C3D" w:rsidP="00F43C3D">
      <w:pPr>
        <w:pStyle w:val="ListParagraph"/>
        <w:numPr>
          <w:ilvl w:val="0"/>
          <w:numId w:val="4"/>
        </w:numPr>
      </w:pPr>
      <w:r>
        <w:t>Model around bounded contexts and documented access patterns; avoid shared-database coupling between domains.</w:t>
      </w:r>
    </w:p>
    <w:p w14:paraId="46A0975C" w14:textId="77777777" w:rsidR="00F43C3D" w:rsidRDefault="00F43C3D" w:rsidP="00F43C3D">
      <w:pPr>
        <w:pStyle w:val="ListParagraph"/>
        <w:numPr>
          <w:ilvl w:val="0"/>
          <w:numId w:val="4"/>
        </w:numPr>
      </w:pPr>
      <w:r>
        <w:t>Use stable identifiers, explicit ownership, controlled vocabularies, and versioned schemas or contracts.</w:t>
      </w:r>
    </w:p>
    <w:p w14:paraId="19DB87C8" w14:textId="77777777" w:rsidR="00F43C3D" w:rsidRDefault="00F43C3D" w:rsidP="00F43C3D">
      <w:pPr>
        <w:pStyle w:val="ListParagraph"/>
        <w:numPr>
          <w:ilvl w:val="0"/>
          <w:numId w:val="4"/>
        </w:numPr>
      </w:pPr>
      <w:r>
        <w:t>Require parameterized queries, bounded result sets, pagination, timeout policies, and connection limits.</w:t>
      </w:r>
    </w:p>
    <w:p w14:paraId="15F4B197" w14:textId="77777777" w:rsidR="00F43C3D" w:rsidRDefault="00F43C3D" w:rsidP="00F43C3D">
      <w:pPr>
        <w:pStyle w:val="ListParagraph"/>
        <w:numPr>
          <w:ilvl w:val="0"/>
          <w:numId w:val="4"/>
        </w:numPr>
      </w:pPr>
      <w:r>
        <w:t>Treat indexes as managed assets: justify, monitor, rebuild or retire, and test write amplification.</w:t>
      </w:r>
    </w:p>
    <w:p w14:paraId="674DAE97" w14:textId="77777777" w:rsidR="00F43C3D" w:rsidRDefault="00F43C3D" w:rsidP="00F43C3D">
      <w:pPr>
        <w:pStyle w:val="ListParagraph"/>
        <w:numPr>
          <w:ilvl w:val="0"/>
          <w:numId w:val="4"/>
        </w:numPr>
      </w:pPr>
      <w:r>
        <w:t>Use backward-compatible migrations with expand-and-contract deployment for zero-downtime changes.</w:t>
      </w:r>
    </w:p>
    <w:p w14:paraId="7E543A47" w14:textId="77777777" w:rsidR="00F43C3D" w:rsidRDefault="00F43C3D">
      <w:pPr>
        <w:pStyle w:val="Heading2"/>
        <w:rPr>
          <w:rFonts w:cstheme="minorBidi"/>
        </w:rPr>
      </w:pPr>
      <w:r>
        <w:rPr>
          <w:rFonts w:cstheme="minorBidi"/>
        </w:rPr>
        <w:lastRenderedPageBreak/>
        <w:t>Security, Privacy, and Compliance</w:t>
      </w:r>
    </w:p>
    <w:p w14:paraId="226697C9" w14:textId="77777777" w:rsidR="00F43C3D" w:rsidRDefault="00F43C3D" w:rsidP="00F43C3D">
      <w:pPr>
        <w:pStyle w:val="ListParagraph"/>
        <w:numPr>
          <w:ilvl w:val="0"/>
          <w:numId w:val="5"/>
        </w:numPr>
      </w:pPr>
      <w:r>
        <w:t>Authenticate workloads with managed identities or short-lived credentials; prohibit embedded secrets.</w:t>
      </w:r>
    </w:p>
    <w:p w14:paraId="54D9B836" w14:textId="77777777" w:rsidR="00F43C3D" w:rsidRDefault="00F43C3D" w:rsidP="00F43C3D">
      <w:pPr>
        <w:pStyle w:val="ListParagraph"/>
        <w:numPr>
          <w:ilvl w:val="0"/>
          <w:numId w:val="5"/>
        </w:numPr>
      </w:pPr>
      <w:r>
        <w:t>Encrypt data in transit and at rest; use customer-managed keys when policy requires separation of duties.</w:t>
      </w:r>
    </w:p>
    <w:p w14:paraId="3F7CC051" w14:textId="77777777" w:rsidR="00F43C3D" w:rsidRDefault="00F43C3D" w:rsidP="00F43C3D">
      <w:pPr>
        <w:pStyle w:val="ListParagraph"/>
        <w:numPr>
          <w:ilvl w:val="0"/>
          <w:numId w:val="5"/>
        </w:numPr>
      </w:pPr>
      <w:r>
        <w:t>Enforce role-based access, privileged-access workflows, network segmentation, and private connectivity.</w:t>
      </w:r>
    </w:p>
    <w:p w14:paraId="2FEAAEF4" w14:textId="77777777" w:rsidR="00F43C3D" w:rsidRDefault="00F43C3D" w:rsidP="00F43C3D">
      <w:pPr>
        <w:pStyle w:val="ListParagraph"/>
        <w:numPr>
          <w:ilvl w:val="0"/>
          <w:numId w:val="5"/>
        </w:numPr>
      </w:pPr>
      <w:r>
        <w:t>Mask or tokenize sensitive attributes in non-production environments and minimize collected data.</w:t>
      </w:r>
    </w:p>
    <w:p w14:paraId="5946A413" w14:textId="77777777" w:rsidR="00F43C3D" w:rsidRDefault="00F43C3D" w:rsidP="00F43C3D">
      <w:pPr>
        <w:pStyle w:val="ListParagraph"/>
        <w:numPr>
          <w:ilvl w:val="0"/>
          <w:numId w:val="5"/>
        </w:numPr>
      </w:pPr>
      <w:r>
        <w:t xml:space="preserve">Capture immutable audit events for </w:t>
      </w:r>
      <w:proofErr w:type="gramStart"/>
      <w:r>
        <w:t>administrative</w:t>
      </w:r>
      <w:proofErr w:type="gramEnd"/>
      <w:r>
        <w:t>, access, schema, and policy changes.</w:t>
      </w:r>
    </w:p>
    <w:p w14:paraId="06115A27" w14:textId="77777777" w:rsidR="00F43C3D" w:rsidRDefault="00F43C3D" w:rsidP="00F43C3D">
      <w:pPr>
        <w:pStyle w:val="ListParagraph"/>
        <w:numPr>
          <w:ilvl w:val="0"/>
          <w:numId w:val="5"/>
        </w:numPr>
      </w:pPr>
      <w:r>
        <w:t>Automate retention and defensible deletion, including replicas, backups, caches, and derived stores.</w:t>
      </w:r>
    </w:p>
    <w:p w14:paraId="78D6BD82" w14:textId="77777777" w:rsidR="00F43C3D" w:rsidRDefault="00F43C3D">
      <w:pPr>
        <w:pStyle w:val="Heading2"/>
        <w:rPr>
          <w:rFonts w:cstheme="minorBidi"/>
        </w:rPr>
      </w:pPr>
      <w:r>
        <w:rPr>
          <w:rFonts w:cstheme="minorBidi"/>
        </w:rPr>
        <w:t>Reliability and Operations</w:t>
      </w:r>
    </w:p>
    <w:p w14:paraId="7B833FB7" w14:textId="77777777" w:rsidR="00F43C3D" w:rsidRDefault="00F43C3D" w:rsidP="00F43C3D">
      <w:pPr>
        <w:pStyle w:val="ListParagraph"/>
        <w:numPr>
          <w:ilvl w:val="0"/>
          <w:numId w:val="6"/>
        </w:numPr>
      </w:pPr>
      <w:r>
        <w:t>Define service-level indicators for availability, latency, errors, saturation, freshness, and recovery readiness.</w:t>
      </w:r>
    </w:p>
    <w:p w14:paraId="75305081" w14:textId="77777777" w:rsidR="00F43C3D" w:rsidRDefault="00F43C3D" w:rsidP="00F43C3D">
      <w:pPr>
        <w:pStyle w:val="ListParagraph"/>
        <w:numPr>
          <w:ilvl w:val="0"/>
          <w:numId w:val="6"/>
        </w:numPr>
      </w:pPr>
      <w:r>
        <w:t>Use multi-zone deployment by default for critical workloads; justify regional or global topology from business impact.</w:t>
      </w:r>
    </w:p>
    <w:p w14:paraId="598D685C" w14:textId="77777777" w:rsidR="00F43C3D" w:rsidRDefault="00F43C3D" w:rsidP="00F43C3D">
      <w:pPr>
        <w:pStyle w:val="ListParagraph"/>
        <w:numPr>
          <w:ilvl w:val="0"/>
          <w:numId w:val="6"/>
        </w:numPr>
      </w:pPr>
      <w:r>
        <w:t xml:space="preserve">Run automated backups, integrity checks, point-in-time recovery </w:t>
      </w:r>
      <w:proofErr w:type="gramStart"/>
      <w:r>
        <w:t>where</w:t>
      </w:r>
      <w:proofErr w:type="gramEnd"/>
      <w:r>
        <w:t xml:space="preserve"> required, and scheduled restore exercises.</w:t>
      </w:r>
    </w:p>
    <w:p w14:paraId="20E9893C" w14:textId="77777777" w:rsidR="00F43C3D" w:rsidRDefault="00F43C3D" w:rsidP="00F43C3D">
      <w:pPr>
        <w:pStyle w:val="ListParagraph"/>
        <w:numPr>
          <w:ilvl w:val="0"/>
          <w:numId w:val="6"/>
        </w:numPr>
      </w:pPr>
      <w:r>
        <w:t>Monitor capacity, replication lag, lock or contention signals, query performance, index health, failed jobs, and cost anomalies.</w:t>
      </w:r>
    </w:p>
    <w:p w14:paraId="3A428748" w14:textId="77777777" w:rsidR="00F43C3D" w:rsidRDefault="00F43C3D" w:rsidP="00F43C3D">
      <w:pPr>
        <w:pStyle w:val="ListParagraph"/>
        <w:numPr>
          <w:ilvl w:val="0"/>
          <w:numId w:val="6"/>
        </w:numPr>
      </w:pPr>
      <w:r>
        <w:t>Maintain tested runbooks for failover, restore, corruption, credential compromise, runaway queries, and quota exhaustion.</w:t>
      </w:r>
    </w:p>
    <w:p w14:paraId="53A8B772" w14:textId="77777777" w:rsidR="00F43C3D" w:rsidRDefault="00F43C3D">
      <w:pPr>
        <w:pStyle w:val="Heading1"/>
        <w:rPr>
          <w:rFonts w:cstheme="minorBidi"/>
        </w:rPr>
      </w:pPr>
      <w:r>
        <w:rPr>
          <w:rFonts w:cstheme="minorBidi"/>
        </w:rPr>
        <w:t>6. Reusable Architecture Patterns</w:t>
      </w:r>
    </w:p>
    <w:tbl>
      <w:tblPr>
        <w:tblStyle w:val="GridTable4-Accent1"/>
        <w:tblW w:w="5000" w:type="pct"/>
        <w:tblLook w:val="04A0" w:firstRow="1" w:lastRow="0" w:firstColumn="1" w:lastColumn="0" w:noHBand="0" w:noVBand="1"/>
      </w:tblPr>
      <w:tblGrid>
        <w:gridCol w:w="2041"/>
        <w:gridCol w:w="3645"/>
        <w:gridCol w:w="3664"/>
      </w:tblGrid>
      <w:tr w:rsidR="00F43C3D" w14:paraId="4D75B0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9DCC9" w14:textId="77777777" w:rsidR="00F43C3D" w:rsidRDefault="00F43C3D">
            <w:pPr>
              <w:spacing w:after="160"/>
            </w:pPr>
            <w:r>
              <w:t>Pattern</w:t>
            </w:r>
          </w:p>
        </w:tc>
        <w:tc>
          <w:tcPr>
            <w:tcW w:w="0" w:type="auto"/>
            <w:hideMark/>
          </w:tcPr>
          <w:p w14:paraId="33B7D7D2"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Use When</w:t>
            </w:r>
          </w:p>
        </w:tc>
        <w:tc>
          <w:tcPr>
            <w:tcW w:w="0" w:type="auto"/>
            <w:hideMark/>
          </w:tcPr>
          <w:p w14:paraId="2EDF7419"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Critical Guardrail</w:t>
            </w:r>
          </w:p>
        </w:tc>
      </w:tr>
      <w:tr w:rsidR="00F43C3D" w14:paraId="30EC86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6109E" w14:textId="77777777" w:rsidR="00F43C3D" w:rsidRDefault="00F43C3D">
            <w:pPr>
              <w:spacing w:after="160"/>
            </w:pPr>
            <w:r>
              <w:t>Database per service</w:t>
            </w:r>
          </w:p>
        </w:tc>
        <w:tc>
          <w:tcPr>
            <w:tcW w:w="0" w:type="auto"/>
            <w:hideMark/>
          </w:tcPr>
          <w:p w14:paraId="7EB84819"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Domains need independent change and scaling</w:t>
            </w:r>
          </w:p>
        </w:tc>
        <w:tc>
          <w:tcPr>
            <w:tcW w:w="0" w:type="auto"/>
            <w:hideMark/>
          </w:tcPr>
          <w:p w14:paraId="7EB2EAF4"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Share through APIs or events, not direct table access</w:t>
            </w:r>
          </w:p>
        </w:tc>
      </w:tr>
      <w:tr w:rsidR="00F43C3D" w14:paraId="26588DF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FE4EE7" w14:textId="77777777" w:rsidR="00F43C3D" w:rsidRDefault="00F43C3D">
            <w:pPr>
              <w:spacing w:after="160"/>
            </w:pPr>
            <w:r>
              <w:t>Cache-aside</w:t>
            </w:r>
          </w:p>
        </w:tc>
        <w:tc>
          <w:tcPr>
            <w:tcW w:w="0" w:type="auto"/>
            <w:hideMark/>
          </w:tcPr>
          <w:p w14:paraId="432601D5"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Read-heavy workloads tolerate bounded staleness</w:t>
            </w:r>
          </w:p>
        </w:tc>
        <w:tc>
          <w:tcPr>
            <w:tcW w:w="0" w:type="auto"/>
            <w:hideMark/>
          </w:tcPr>
          <w:p w14:paraId="2421236B"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Define TTL, invalidation, stampede protection, and fallback</w:t>
            </w:r>
          </w:p>
        </w:tc>
      </w:tr>
      <w:tr w:rsidR="00F43C3D" w14:paraId="259DF1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A6118" w14:textId="77777777" w:rsidR="00F43C3D" w:rsidRDefault="00F43C3D">
            <w:pPr>
              <w:spacing w:after="160"/>
            </w:pPr>
            <w:r>
              <w:t>CQRS</w:t>
            </w:r>
          </w:p>
        </w:tc>
        <w:tc>
          <w:tcPr>
            <w:tcW w:w="0" w:type="auto"/>
            <w:hideMark/>
          </w:tcPr>
          <w:p w14:paraId="767BA9EF"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Read and write models have materially different needs</w:t>
            </w:r>
          </w:p>
        </w:tc>
        <w:tc>
          <w:tcPr>
            <w:tcW w:w="0" w:type="auto"/>
            <w:hideMark/>
          </w:tcPr>
          <w:p w14:paraId="01333C53"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Make eventual consistency visible and observable</w:t>
            </w:r>
          </w:p>
        </w:tc>
      </w:tr>
      <w:tr w:rsidR="00F43C3D" w14:paraId="7C9CD72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743C20F" w14:textId="77777777" w:rsidR="00F43C3D" w:rsidRDefault="00F43C3D">
            <w:pPr>
              <w:spacing w:after="160"/>
            </w:pPr>
            <w:r>
              <w:lastRenderedPageBreak/>
              <w:t>Event sourcing</w:t>
            </w:r>
          </w:p>
        </w:tc>
        <w:tc>
          <w:tcPr>
            <w:tcW w:w="0" w:type="auto"/>
            <w:hideMark/>
          </w:tcPr>
          <w:p w14:paraId="3D788829"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Auditability, replay, or temporal reconstruction is central</w:t>
            </w:r>
          </w:p>
        </w:tc>
        <w:tc>
          <w:tcPr>
            <w:tcW w:w="0" w:type="auto"/>
            <w:hideMark/>
          </w:tcPr>
          <w:p w14:paraId="540C72CC"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Version events and protect idempotent projections</w:t>
            </w:r>
          </w:p>
        </w:tc>
      </w:tr>
      <w:tr w:rsidR="00F43C3D" w14:paraId="3CEE0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69AE2" w14:textId="77777777" w:rsidR="00F43C3D" w:rsidRDefault="00F43C3D">
            <w:pPr>
              <w:spacing w:after="160"/>
            </w:pPr>
            <w:r>
              <w:t>Transactional outbox</w:t>
            </w:r>
          </w:p>
        </w:tc>
        <w:tc>
          <w:tcPr>
            <w:tcW w:w="0" w:type="auto"/>
            <w:hideMark/>
          </w:tcPr>
          <w:p w14:paraId="3AA08E11"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Database state and event publication must stay consistent</w:t>
            </w:r>
          </w:p>
        </w:tc>
        <w:tc>
          <w:tcPr>
            <w:tcW w:w="0" w:type="auto"/>
            <w:hideMark/>
          </w:tcPr>
          <w:p w14:paraId="3C770455"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Monitor relay lag and deduplicate consumers</w:t>
            </w:r>
          </w:p>
        </w:tc>
      </w:tr>
      <w:tr w:rsidR="00F43C3D" w14:paraId="6BA5375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2D349E2" w14:textId="77777777" w:rsidR="00F43C3D" w:rsidRDefault="00F43C3D">
            <w:pPr>
              <w:spacing w:after="160"/>
            </w:pPr>
            <w:r>
              <w:t>Change data capture</w:t>
            </w:r>
          </w:p>
        </w:tc>
        <w:tc>
          <w:tcPr>
            <w:tcW w:w="0" w:type="auto"/>
            <w:hideMark/>
          </w:tcPr>
          <w:p w14:paraId="4EC60E2F"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Downstream stores need low-impact incremental changes</w:t>
            </w:r>
          </w:p>
        </w:tc>
        <w:tc>
          <w:tcPr>
            <w:tcW w:w="0" w:type="auto"/>
            <w:hideMark/>
          </w:tcPr>
          <w:p w14:paraId="1F1B0BED"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Protect schema evolution, ordering, and sensitive fields</w:t>
            </w:r>
          </w:p>
        </w:tc>
      </w:tr>
      <w:tr w:rsidR="00F43C3D" w14:paraId="21536B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35C8" w14:textId="77777777" w:rsidR="00F43C3D" w:rsidRDefault="00F43C3D">
            <w:pPr>
              <w:spacing w:after="160"/>
            </w:pPr>
            <w:r>
              <w:t>Read replica</w:t>
            </w:r>
          </w:p>
        </w:tc>
        <w:tc>
          <w:tcPr>
            <w:tcW w:w="0" w:type="auto"/>
            <w:hideMark/>
          </w:tcPr>
          <w:p w14:paraId="39441033"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Read scaling or reporting isolation is required</w:t>
            </w:r>
          </w:p>
        </w:tc>
        <w:tc>
          <w:tcPr>
            <w:tcW w:w="0" w:type="auto"/>
            <w:hideMark/>
          </w:tcPr>
          <w:p w14:paraId="032E4681"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Route only workloads compatible with replication lag</w:t>
            </w:r>
          </w:p>
        </w:tc>
      </w:tr>
      <w:tr w:rsidR="00F43C3D" w14:paraId="7F2B154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4C0C2A" w14:textId="77777777" w:rsidR="00F43C3D" w:rsidRDefault="00F43C3D">
            <w:pPr>
              <w:spacing w:after="160"/>
            </w:pPr>
            <w:r>
              <w:t>Archival tiering</w:t>
            </w:r>
          </w:p>
        </w:tc>
        <w:tc>
          <w:tcPr>
            <w:tcW w:w="0" w:type="auto"/>
            <w:hideMark/>
          </w:tcPr>
          <w:p w14:paraId="387B6526"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Retention exceeds hot-access needs</w:t>
            </w:r>
          </w:p>
        </w:tc>
        <w:tc>
          <w:tcPr>
            <w:tcW w:w="0" w:type="auto"/>
            <w:hideMark/>
          </w:tcPr>
          <w:p w14:paraId="70E43DFD"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Prove discoverability, legal hold, restore time, and deletion</w:t>
            </w:r>
          </w:p>
        </w:tc>
      </w:tr>
    </w:tbl>
    <w:p w14:paraId="7FAB59B6" w14:textId="77777777" w:rsidR="00F43C3D" w:rsidRDefault="00F43C3D"/>
    <w:p w14:paraId="66498125" w14:textId="77777777" w:rsidR="00F43C3D" w:rsidRDefault="00F43C3D">
      <w:pPr>
        <w:pStyle w:val="Heading2"/>
        <w:rPr>
          <w:rFonts w:cstheme="minorBidi"/>
        </w:rPr>
      </w:pPr>
      <w:r>
        <w:rPr>
          <w:rFonts w:cstheme="minorBidi"/>
        </w:rPr>
        <w:t>Anti-Patterns to Avoid</w:t>
      </w:r>
    </w:p>
    <w:p w14:paraId="63F4475E" w14:textId="77777777" w:rsidR="00F43C3D" w:rsidRDefault="00F43C3D" w:rsidP="00F43C3D">
      <w:pPr>
        <w:pStyle w:val="ListParagraph"/>
        <w:numPr>
          <w:ilvl w:val="0"/>
          <w:numId w:val="7"/>
        </w:numPr>
      </w:pPr>
      <w:r>
        <w:t>A single enterprise database used as an integration bus.</w:t>
      </w:r>
    </w:p>
    <w:p w14:paraId="2D62DD3B" w14:textId="77777777" w:rsidR="00F43C3D" w:rsidRDefault="00F43C3D" w:rsidP="00F43C3D">
      <w:pPr>
        <w:pStyle w:val="ListParagraph"/>
        <w:numPr>
          <w:ilvl w:val="0"/>
          <w:numId w:val="7"/>
        </w:numPr>
      </w:pPr>
      <w:r>
        <w:t>Polyglot persistence without operational maturity or measurable benefit.</w:t>
      </w:r>
    </w:p>
    <w:p w14:paraId="44CDF27B" w14:textId="77777777" w:rsidR="00F43C3D" w:rsidRDefault="00F43C3D" w:rsidP="00F43C3D">
      <w:pPr>
        <w:pStyle w:val="ListParagraph"/>
        <w:numPr>
          <w:ilvl w:val="0"/>
          <w:numId w:val="7"/>
        </w:numPr>
      </w:pPr>
      <w:r>
        <w:t>Unbounded queries, collections, partitions, or cache entries.</w:t>
      </w:r>
    </w:p>
    <w:p w14:paraId="2BDC2E8E" w14:textId="77777777" w:rsidR="00F43C3D" w:rsidRDefault="00F43C3D" w:rsidP="00F43C3D">
      <w:pPr>
        <w:pStyle w:val="ListParagraph"/>
        <w:numPr>
          <w:ilvl w:val="0"/>
          <w:numId w:val="7"/>
        </w:numPr>
      </w:pPr>
      <w:r>
        <w:t>Business logic hidden in database code without ownership, testing, and release controls.</w:t>
      </w:r>
    </w:p>
    <w:p w14:paraId="38F2B735" w14:textId="77777777" w:rsidR="00F43C3D" w:rsidRDefault="00F43C3D" w:rsidP="00F43C3D">
      <w:pPr>
        <w:pStyle w:val="ListParagraph"/>
        <w:numPr>
          <w:ilvl w:val="0"/>
          <w:numId w:val="7"/>
        </w:numPr>
      </w:pPr>
      <w:r>
        <w:t>Replicas or exports treated as authoritative data without reconciliation.</w:t>
      </w:r>
    </w:p>
    <w:p w14:paraId="526B39E1" w14:textId="77777777" w:rsidR="00F43C3D" w:rsidRDefault="00F43C3D" w:rsidP="00F43C3D">
      <w:pPr>
        <w:pStyle w:val="ListParagraph"/>
        <w:numPr>
          <w:ilvl w:val="0"/>
          <w:numId w:val="7"/>
        </w:numPr>
      </w:pPr>
      <w:r>
        <w:t xml:space="preserve">Backup completion treated as proof of recoverability without </w:t>
      </w:r>
      <w:proofErr w:type="gramStart"/>
      <w:r>
        <w:t>restore</w:t>
      </w:r>
      <w:proofErr w:type="gramEnd"/>
      <w:r>
        <w:t xml:space="preserve"> testing.</w:t>
      </w:r>
    </w:p>
    <w:p w14:paraId="2C925A53" w14:textId="77777777" w:rsidR="00F43C3D" w:rsidRDefault="00F43C3D">
      <w:pPr>
        <w:pStyle w:val="Heading1"/>
        <w:rPr>
          <w:rFonts w:cstheme="minorBidi"/>
        </w:rPr>
      </w:pPr>
      <w:r>
        <w:rPr>
          <w:rFonts w:cstheme="minorBidi"/>
        </w:rPr>
        <w:t>7. Governance and Delivery Model</w:t>
      </w:r>
    </w:p>
    <w:tbl>
      <w:tblPr>
        <w:tblStyle w:val="GridTable4-Accent1"/>
        <w:tblW w:w="5000" w:type="pct"/>
        <w:tblLook w:val="04A0" w:firstRow="1" w:lastRow="0" w:firstColumn="1" w:lastColumn="0" w:noHBand="0" w:noVBand="1"/>
      </w:tblPr>
      <w:tblGrid>
        <w:gridCol w:w="3073"/>
        <w:gridCol w:w="6277"/>
      </w:tblGrid>
      <w:tr w:rsidR="00F43C3D" w14:paraId="79249D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336C9" w14:textId="77777777" w:rsidR="00F43C3D" w:rsidRDefault="00F43C3D">
            <w:pPr>
              <w:spacing w:after="160"/>
            </w:pPr>
            <w:r>
              <w:t>Role</w:t>
            </w:r>
          </w:p>
        </w:tc>
        <w:tc>
          <w:tcPr>
            <w:tcW w:w="0" w:type="auto"/>
            <w:hideMark/>
          </w:tcPr>
          <w:p w14:paraId="6EA98A1E" w14:textId="77777777" w:rsidR="00F43C3D" w:rsidRDefault="00F43C3D">
            <w:pPr>
              <w:spacing w:after="160"/>
              <w:cnfStyle w:val="100000000000" w:firstRow="1" w:lastRow="0" w:firstColumn="0" w:lastColumn="0" w:oddVBand="0" w:evenVBand="0" w:oddHBand="0" w:evenHBand="0" w:firstRowFirstColumn="0" w:firstRowLastColumn="0" w:lastRowFirstColumn="0" w:lastRowLastColumn="0"/>
            </w:pPr>
            <w:r>
              <w:t>Accountability</w:t>
            </w:r>
          </w:p>
        </w:tc>
      </w:tr>
      <w:tr w:rsidR="00F43C3D" w14:paraId="372ED7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E1A33" w14:textId="77777777" w:rsidR="00F43C3D" w:rsidRDefault="00F43C3D">
            <w:pPr>
              <w:spacing w:after="160"/>
            </w:pPr>
            <w:r>
              <w:t>Business Data Owner</w:t>
            </w:r>
          </w:p>
        </w:tc>
        <w:tc>
          <w:tcPr>
            <w:tcW w:w="0" w:type="auto"/>
            <w:hideMark/>
          </w:tcPr>
          <w:p w14:paraId="73FFCB80"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Classification, permitted use, quality objectives, retention, and risk acceptance</w:t>
            </w:r>
          </w:p>
        </w:tc>
      </w:tr>
      <w:tr w:rsidR="00F43C3D" w14:paraId="782C47A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0C2AA0" w14:textId="77777777" w:rsidR="00F43C3D" w:rsidRDefault="00F43C3D">
            <w:pPr>
              <w:spacing w:after="160"/>
            </w:pPr>
            <w:r>
              <w:t>Domain/Application Architect</w:t>
            </w:r>
          </w:p>
        </w:tc>
        <w:tc>
          <w:tcPr>
            <w:tcW w:w="0" w:type="auto"/>
            <w:hideMark/>
          </w:tcPr>
          <w:p w14:paraId="3CCBF96B"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Workload model, store selection, integration, resilience, and decision record</w:t>
            </w:r>
          </w:p>
        </w:tc>
      </w:tr>
      <w:tr w:rsidR="00F43C3D" w14:paraId="64C816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68E77" w14:textId="77777777" w:rsidR="00F43C3D" w:rsidRDefault="00F43C3D">
            <w:pPr>
              <w:spacing w:after="160"/>
            </w:pPr>
            <w:r>
              <w:t>Data Architect</w:t>
            </w:r>
          </w:p>
        </w:tc>
        <w:tc>
          <w:tcPr>
            <w:tcW w:w="0" w:type="auto"/>
            <w:hideMark/>
          </w:tcPr>
          <w:p w14:paraId="3D54442C"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Canonical meaning, logical model, lineage, metadata, and analytical alignment</w:t>
            </w:r>
          </w:p>
        </w:tc>
      </w:tr>
      <w:tr w:rsidR="00F43C3D" w14:paraId="25A0D7F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B1E1B51" w14:textId="77777777" w:rsidR="00F43C3D" w:rsidRDefault="00F43C3D">
            <w:pPr>
              <w:spacing w:after="160"/>
            </w:pPr>
            <w:r>
              <w:t>Platform Engineering</w:t>
            </w:r>
          </w:p>
        </w:tc>
        <w:tc>
          <w:tcPr>
            <w:tcW w:w="0" w:type="auto"/>
            <w:hideMark/>
          </w:tcPr>
          <w:p w14:paraId="7D0AE284"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Approved services, automation, hardening, observability, backup, and support</w:t>
            </w:r>
          </w:p>
        </w:tc>
      </w:tr>
      <w:tr w:rsidR="00F43C3D" w14:paraId="37B4B4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9FBDE" w14:textId="77777777" w:rsidR="00F43C3D" w:rsidRDefault="00F43C3D">
            <w:pPr>
              <w:spacing w:after="160"/>
            </w:pPr>
            <w:r>
              <w:t>Security and Privacy</w:t>
            </w:r>
          </w:p>
        </w:tc>
        <w:tc>
          <w:tcPr>
            <w:tcW w:w="0" w:type="auto"/>
            <w:hideMark/>
          </w:tcPr>
          <w:p w14:paraId="16904506"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Threat model, access model, cryptography, audit, privacy, and compliance validation</w:t>
            </w:r>
          </w:p>
        </w:tc>
      </w:tr>
      <w:tr w:rsidR="00F43C3D" w14:paraId="5471CC0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A84EF60" w14:textId="77777777" w:rsidR="00F43C3D" w:rsidRDefault="00F43C3D">
            <w:pPr>
              <w:spacing w:after="160"/>
            </w:pPr>
            <w:r>
              <w:lastRenderedPageBreak/>
              <w:t>Service Owner</w:t>
            </w:r>
          </w:p>
        </w:tc>
        <w:tc>
          <w:tcPr>
            <w:tcW w:w="0" w:type="auto"/>
            <w:hideMark/>
          </w:tcPr>
          <w:p w14:paraId="48E00021" w14:textId="77777777" w:rsidR="00F43C3D" w:rsidRDefault="00F43C3D">
            <w:pPr>
              <w:spacing w:after="160"/>
              <w:cnfStyle w:val="000000000000" w:firstRow="0" w:lastRow="0" w:firstColumn="0" w:lastColumn="0" w:oddVBand="0" w:evenVBand="0" w:oddHBand="0" w:evenHBand="0" w:firstRowFirstColumn="0" w:firstRowLastColumn="0" w:lastRowFirstColumn="0" w:lastRowLastColumn="0"/>
            </w:pPr>
            <w:r>
              <w:t>Service levels, cost, incidents, capacity, lifecycle, and operational readiness</w:t>
            </w:r>
          </w:p>
        </w:tc>
      </w:tr>
      <w:tr w:rsidR="00F43C3D" w14:paraId="5D44C7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DF54D" w14:textId="77777777" w:rsidR="00F43C3D" w:rsidRDefault="00F43C3D">
            <w:pPr>
              <w:spacing w:after="160"/>
            </w:pPr>
            <w:r>
              <w:t>Architecture Review Board</w:t>
            </w:r>
          </w:p>
        </w:tc>
        <w:tc>
          <w:tcPr>
            <w:tcW w:w="0" w:type="auto"/>
            <w:hideMark/>
          </w:tcPr>
          <w:p w14:paraId="28A85800" w14:textId="77777777" w:rsidR="00F43C3D" w:rsidRDefault="00F43C3D">
            <w:pPr>
              <w:spacing w:after="160"/>
              <w:cnfStyle w:val="000000100000" w:firstRow="0" w:lastRow="0" w:firstColumn="0" w:lastColumn="0" w:oddVBand="0" w:evenVBand="0" w:oddHBand="1" w:evenHBand="0" w:firstRowFirstColumn="0" w:firstRowLastColumn="0" w:lastRowFirstColumn="0" w:lastRowLastColumn="0"/>
            </w:pPr>
            <w:r>
              <w:t>Exceptions, cross-domain impact, standards evolution, and risk-based approval</w:t>
            </w:r>
          </w:p>
        </w:tc>
      </w:tr>
    </w:tbl>
    <w:p w14:paraId="51B027FE" w14:textId="77777777" w:rsidR="00F43C3D" w:rsidRDefault="00F43C3D"/>
    <w:p w14:paraId="467EA137" w14:textId="77777777" w:rsidR="00F43C3D" w:rsidRDefault="00F43C3D">
      <w:pPr>
        <w:pStyle w:val="Heading2"/>
        <w:rPr>
          <w:rFonts w:cstheme="minorBidi"/>
        </w:rPr>
      </w:pPr>
      <w:r>
        <w:rPr>
          <w:rFonts w:cstheme="minorBidi"/>
        </w:rPr>
        <w:t>Core Accelerator Assets</w:t>
      </w:r>
    </w:p>
    <w:p w14:paraId="64E86C67" w14:textId="77777777" w:rsidR="00F43C3D" w:rsidRDefault="00F43C3D" w:rsidP="00F43C3D">
      <w:pPr>
        <w:pStyle w:val="ListParagraph"/>
        <w:numPr>
          <w:ilvl w:val="0"/>
          <w:numId w:val="8"/>
        </w:numPr>
      </w:pPr>
      <w:r>
        <w:t>Persistence decision record with scored alternatives and trade-offs.</w:t>
      </w:r>
    </w:p>
    <w:p w14:paraId="43939418" w14:textId="77777777" w:rsidR="00F43C3D" w:rsidRDefault="00F43C3D" w:rsidP="00F43C3D">
      <w:pPr>
        <w:pStyle w:val="ListParagraph"/>
        <w:numPr>
          <w:ilvl w:val="0"/>
          <w:numId w:val="8"/>
        </w:numPr>
      </w:pPr>
      <w:r>
        <w:t>Workload characterization worksheet and nonfunctional requirements template.</w:t>
      </w:r>
    </w:p>
    <w:p w14:paraId="0FA52D0C" w14:textId="77777777" w:rsidR="00F43C3D" w:rsidRDefault="00F43C3D" w:rsidP="00F43C3D">
      <w:pPr>
        <w:pStyle w:val="ListParagraph"/>
        <w:numPr>
          <w:ilvl w:val="0"/>
          <w:numId w:val="8"/>
        </w:numPr>
      </w:pPr>
      <w:r>
        <w:t>Reference deployment modules with policy, network, identity, encryption, backup, and monitoring defaults.</w:t>
      </w:r>
    </w:p>
    <w:p w14:paraId="4EBDCE0B" w14:textId="77777777" w:rsidR="00F43C3D" w:rsidRDefault="00F43C3D" w:rsidP="00F43C3D">
      <w:pPr>
        <w:pStyle w:val="ListParagraph"/>
        <w:numPr>
          <w:ilvl w:val="0"/>
          <w:numId w:val="8"/>
        </w:numPr>
      </w:pPr>
      <w:r>
        <w:t>Data model, interface contract, lineage, and migration templates.</w:t>
      </w:r>
    </w:p>
    <w:p w14:paraId="62966E09" w14:textId="77777777" w:rsidR="00F43C3D" w:rsidRDefault="00F43C3D" w:rsidP="00F43C3D">
      <w:pPr>
        <w:pStyle w:val="ListParagraph"/>
        <w:numPr>
          <w:ilvl w:val="0"/>
          <w:numId w:val="8"/>
        </w:numPr>
      </w:pPr>
      <w:r>
        <w:t>Threat model, privacy impact, recovery plan, operational readiness, and cost model checklists.</w:t>
      </w:r>
    </w:p>
    <w:p w14:paraId="40083AA4" w14:textId="77777777" w:rsidR="00F43C3D" w:rsidRDefault="00F43C3D" w:rsidP="00F43C3D">
      <w:pPr>
        <w:pStyle w:val="ListParagraph"/>
        <w:numPr>
          <w:ilvl w:val="0"/>
          <w:numId w:val="8"/>
        </w:numPr>
      </w:pPr>
      <w:r>
        <w:t>Exception register with compensating controls, owner, expiry date, and remediation path.</w:t>
      </w:r>
    </w:p>
    <w:p w14:paraId="3955A06B" w14:textId="77777777" w:rsidR="00F43C3D" w:rsidRDefault="00F43C3D">
      <w:pPr>
        <w:pStyle w:val="Heading1"/>
        <w:rPr>
          <w:rFonts w:cstheme="minorBidi"/>
        </w:rPr>
      </w:pPr>
      <w:r>
        <w:rPr>
          <w:rFonts w:cstheme="minorBidi"/>
        </w:rPr>
        <w:t>8. Adoption Roadmap</w:t>
      </w:r>
    </w:p>
    <w:p w14:paraId="41D99574" w14:textId="77777777" w:rsidR="00F43C3D" w:rsidRDefault="00F43C3D" w:rsidP="00F43C3D">
      <w:pPr>
        <w:pStyle w:val="ListParagraph"/>
        <w:numPr>
          <w:ilvl w:val="0"/>
          <w:numId w:val="9"/>
        </w:numPr>
      </w:pPr>
      <w:r w:rsidRPr="00F43C3D">
        <w:rPr>
          <w:b/>
          <w:bCs/>
        </w:rPr>
        <w:t>Discover (Weeks 1–2):</w:t>
      </w:r>
      <w:r>
        <w:t xml:space="preserve"> inventory stores, owners, criticality, cost, incidents, recovery posture, and strategic constraints.</w:t>
      </w:r>
    </w:p>
    <w:p w14:paraId="5347544A" w14:textId="77777777" w:rsidR="00F43C3D" w:rsidRDefault="00F43C3D" w:rsidP="00F43C3D">
      <w:pPr>
        <w:pStyle w:val="ListParagraph"/>
        <w:numPr>
          <w:ilvl w:val="0"/>
          <w:numId w:val="9"/>
        </w:numPr>
      </w:pPr>
      <w:r>
        <w:rPr>
          <w:b/>
          <w:bCs/>
        </w:rPr>
        <w:t>Baseline (Weeks 3–4):</w:t>
      </w:r>
      <w:r>
        <w:t xml:space="preserve"> approve principles, technology categories, control minimums, decision criteria, and exception process.</w:t>
      </w:r>
    </w:p>
    <w:p w14:paraId="727969DB" w14:textId="77777777" w:rsidR="00F43C3D" w:rsidRDefault="00F43C3D" w:rsidP="00F43C3D">
      <w:pPr>
        <w:pStyle w:val="ListParagraph"/>
        <w:numPr>
          <w:ilvl w:val="0"/>
          <w:numId w:val="9"/>
        </w:numPr>
      </w:pPr>
      <w:r>
        <w:rPr>
          <w:b/>
          <w:bCs/>
        </w:rPr>
        <w:t>Build (Weeks 5–8):</w:t>
      </w:r>
      <w:r>
        <w:t xml:space="preserve"> create automated reference deployments, observability, migration patterns, templates, and evidence packs.</w:t>
      </w:r>
    </w:p>
    <w:p w14:paraId="36DEE1A2" w14:textId="77777777" w:rsidR="00F43C3D" w:rsidRDefault="00F43C3D" w:rsidP="00F43C3D">
      <w:pPr>
        <w:pStyle w:val="ListParagraph"/>
        <w:numPr>
          <w:ilvl w:val="0"/>
          <w:numId w:val="9"/>
        </w:numPr>
      </w:pPr>
      <w:r>
        <w:rPr>
          <w:b/>
          <w:bCs/>
        </w:rPr>
        <w:t>Pilot (Weeks 9–12):</w:t>
      </w:r>
      <w:r>
        <w:t xml:space="preserve"> apply the accelerator to one transactional and one analytical workload; measure lead time and defects.</w:t>
      </w:r>
    </w:p>
    <w:p w14:paraId="1F82CD0F" w14:textId="77777777" w:rsidR="00F43C3D" w:rsidRDefault="00F43C3D" w:rsidP="00F43C3D">
      <w:pPr>
        <w:pStyle w:val="ListParagraph"/>
        <w:numPr>
          <w:ilvl w:val="0"/>
          <w:numId w:val="9"/>
        </w:numPr>
      </w:pPr>
      <w:r>
        <w:rPr>
          <w:b/>
          <w:bCs/>
        </w:rPr>
        <w:t>Scale (Quarter 2):</w:t>
      </w:r>
      <w:r>
        <w:t xml:space="preserve"> publish a service catalog, train teams, establish office hours, and integrate gates into delivery pipelines.</w:t>
      </w:r>
    </w:p>
    <w:p w14:paraId="78017DAE" w14:textId="77777777" w:rsidR="00F43C3D" w:rsidRDefault="00F43C3D" w:rsidP="00F43C3D">
      <w:pPr>
        <w:pStyle w:val="ListParagraph"/>
        <w:numPr>
          <w:ilvl w:val="0"/>
          <w:numId w:val="9"/>
        </w:numPr>
      </w:pPr>
      <w:r>
        <w:rPr>
          <w:b/>
          <w:bCs/>
        </w:rPr>
        <w:t>Optimize (Ongoing):</w:t>
      </w:r>
      <w:r>
        <w:t xml:space="preserve"> track adoption, cost, reliability, recovery tests, security findings, exceptions, and technology lifecycle.</w:t>
      </w:r>
    </w:p>
    <w:p w14:paraId="00F3D804" w14:textId="77777777" w:rsidR="00F43C3D" w:rsidRDefault="00F43C3D">
      <w:pPr>
        <w:pStyle w:val="Heading1"/>
        <w:rPr>
          <w:rFonts w:cstheme="minorBidi"/>
        </w:rPr>
      </w:pPr>
      <w:r>
        <w:rPr>
          <w:rFonts w:cstheme="minorBidi"/>
        </w:rPr>
        <w:t>9. Measures of Success</w:t>
      </w:r>
    </w:p>
    <w:p w14:paraId="169797B0" w14:textId="77777777" w:rsidR="00F43C3D" w:rsidRDefault="00F43C3D" w:rsidP="00F43C3D">
      <w:pPr>
        <w:pStyle w:val="ListParagraph"/>
        <w:numPr>
          <w:ilvl w:val="0"/>
          <w:numId w:val="10"/>
        </w:numPr>
      </w:pPr>
      <w:r>
        <w:t>Median time from solution intake to persistence decision and approval.</w:t>
      </w:r>
    </w:p>
    <w:p w14:paraId="50A3087D" w14:textId="77777777" w:rsidR="00F43C3D" w:rsidRDefault="00F43C3D" w:rsidP="00F43C3D">
      <w:pPr>
        <w:pStyle w:val="ListParagraph"/>
        <w:numPr>
          <w:ilvl w:val="0"/>
          <w:numId w:val="10"/>
        </w:numPr>
      </w:pPr>
      <w:r>
        <w:t>Percentage of production stores deployed from approved automated patterns.</w:t>
      </w:r>
    </w:p>
    <w:p w14:paraId="19897D2D" w14:textId="77777777" w:rsidR="00F43C3D" w:rsidRDefault="00F43C3D" w:rsidP="00F43C3D">
      <w:pPr>
        <w:pStyle w:val="ListParagraph"/>
        <w:numPr>
          <w:ilvl w:val="0"/>
          <w:numId w:val="10"/>
        </w:numPr>
      </w:pPr>
      <w:r>
        <w:t>Percentage of critical stores with successful restore and failover tests within policy.</w:t>
      </w:r>
    </w:p>
    <w:p w14:paraId="4A93F20D" w14:textId="77777777" w:rsidR="00F43C3D" w:rsidRDefault="00F43C3D" w:rsidP="00F43C3D">
      <w:pPr>
        <w:pStyle w:val="ListParagraph"/>
        <w:numPr>
          <w:ilvl w:val="0"/>
          <w:numId w:val="10"/>
        </w:numPr>
      </w:pPr>
      <w:r>
        <w:lastRenderedPageBreak/>
        <w:t>Reduction in high-severity security, resilience, and performance findings.</w:t>
      </w:r>
    </w:p>
    <w:p w14:paraId="28B9BA3C" w14:textId="77777777" w:rsidR="00F43C3D" w:rsidRDefault="00F43C3D" w:rsidP="00F43C3D">
      <w:pPr>
        <w:pStyle w:val="ListParagraph"/>
        <w:numPr>
          <w:ilvl w:val="0"/>
          <w:numId w:val="10"/>
        </w:numPr>
      </w:pPr>
      <w:r>
        <w:t>Cost per workload transaction, query, or data unit against agreed budgets.</w:t>
      </w:r>
    </w:p>
    <w:p w14:paraId="782A5DA5" w14:textId="77777777" w:rsidR="00F43C3D" w:rsidRDefault="00F43C3D" w:rsidP="00F43C3D">
      <w:pPr>
        <w:pStyle w:val="ListParagraph"/>
        <w:numPr>
          <w:ilvl w:val="0"/>
          <w:numId w:val="10"/>
        </w:numPr>
      </w:pPr>
      <w:r>
        <w:t>Number, age, and business impact of architecture exceptions.</w:t>
      </w:r>
    </w:p>
    <w:p w14:paraId="0C577895" w14:textId="77777777" w:rsidR="00F43C3D" w:rsidRDefault="00F43C3D" w:rsidP="00F43C3D">
      <w:pPr>
        <w:pStyle w:val="ListParagraph"/>
        <w:numPr>
          <w:ilvl w:val="0"/>
          <w:numId w:val="10"/>
        </w:numPr>
      </w:pPr>
      <w:r>
        <w:t>Percentage of data products with owner, classification, lineage, quality objectives, and retention policy.</w:t>
      </w:r>
    </w:p>
    <w:p w14:paraId="5115ECEB" w14:textId="77777777" w:rsidR="00F43C3D" w:rsidRDefault="00F43C3D">
      <w:pPr>
        <w:pStyle w:val="Heading1"/>
        <w:rPr>
          <w:rFonts w:cstheme="minorBidi"/>
        </w:rPr>
      </w:pPr>
      <w:r>
        <w:rPr>
          <w:rFonts w:cstheme="minorBidi"/>
        </w:rPr>
        <w:t>10. Architecture Review Checklist</w:t>
      </w:r>
    </w:p>
    <w:p w14:paraId="26869BB0" w14:textId="77777777" w:rsidR="00F43C3D" w:rsidRDefault="00F43C3D" w:rsidP="00F43C3D">
      <w:pPr>
        <w:pStyle w:val="ListParagraph"/>
        <w:numPr>
          <w:ilvl w:val="0"/>
          <w:numId w:val="11"/>
        </w:numPr>
      </w:pPr>
      <w:r>
        <w:t>Business owner, technical owner, data owner, and support model are assigned.</w:t>
      </w:r>
    </w:p>
    <w:p w14:paraId="150F66D6" w14:textId="77777777" w:rsidR="00F43C3D" w:rsidRDefault="00F43C3D" w:rsidP="00F43C3D">
      <w:pPr>
        <w:pStyle w:val="ListParagraph"/>
        <w:numPr>
          <w:ilvl w:val="0"/>
          <w:numId w:val="11"/>
        </w:numPr>
      </w:pPr>
      <w:r>
        <w:t>Data classification, residency, retention, legal hold, and deletion are approved.</w:t>
      </w:r>
    </w:p>
    <w:p w14:paraId="0AE8E68E" w14:textId="77777777" w:rsidR="00F43C3D" w:rsidRDefault="00F43C3D" w:rsidP="00F43C3D">
      <w:pPr>
        <w:pStyle w:val="ListParagraph"/>
        <w:numPr>
          <w:ilvl w:val="0"/>
          <w:numId w:val="11"/>
        </w:numPr>
      </w:pPr>
      <w:r>
        <w:t>Workload, data model, consistency model, partitioning, and growth assumptions are documented.</w:t>
      </w:r>
    </w:p>
    <w:p w14:paraId="23E17BA7" w14:textId="77777777" w:rsidR="00F43C3D" w:rsidRDefault="00F43C3D" w:rsidP="00F43C3D">
      <w:pPr>
        <w:pStyle w:val="ListParagraph"/>
        <w:numPr>
          <w:ilvl w:val="0"/>
          <w:numId w:val="11"/>
        </w:numPr>
      </w:pPr>
      <w:r>
        <w:t>Technology choice and rejected alternatives are recorded with evidence.</w:t>
      </w:r>
    </w:p>
    <w:p w14:paraId="1C5173A3" w14:textId="77777777" w:rsidR="00F43C3D" w:rsidRDefault="00F43C3D" w:rsidP="00F43C3D">
      <w:pPr>
        <w:pStyle w:val="ListParagraph"/>
        <w:numPr>
          <w:ilvl w:val="0"/>
          <w:numId w:val="11"/>
        </w:numPr>
      </w:pPr>
      <w:r>
        <w:t>Access, encryption, secrets, network, audit, and privileged operations meet policy.</w:t>
      </w:r>
    </w:p>
    <w:p w14:paraId="7BCDF001" w14:textId="77777777" w:rsidR="00F43C3D" w:rsidRDefault="00F43C3D" w:rsidP="00F43C3D">
      <w:pPr>
        <w:pStyle w:val="ListParagraph"/>
        <w:numPr>
          <w:ilvl w:val="0"/>
          <w:numId w:val="11"/>
        </w:numPr>
      </w:pPr>
      <w:r>
        <w:t>Availability, RTO, RPO, backups, restore, failover, and degradation behavior are tested.</w:t>
      </w:r>
    </w:p>
    <w:p w14:paraId="267D549F" w14:textId="77777777" w:rsidR="00F43C3D" w:rsidRDefault="00F43C3D" w:rsidP="00F43C3D">
      <w:pPr>
        <w:pStyle w:val="ListParagraph"/>
        <w:numPr>
          <w:ilvl w:val="0"/>
          <w:numId w:val="11"/>
        </w:numPr>
      </w:pPr>
      <w:r>
        <w:t>Monitoring, alerting, service levels, runbooks, capacity, and cost controls are operational.</w:t>
      </w:r>
    </w:p>
    <w:p w14:paraId="31240DC9" w14:textId="77777777" w:rsidR="00F43C3D" w:rsidRDefault="00F43C3D" w:rsidP="00F43C3D">
      <w:pPr>
        <w:pStyle w:val="ListParagraph"/>
        <w:numPr>
          <w:ilvl w:val="0"/>
          <w:numId w:val="11"/>
        </w:numPr>
      </w:pPr>
      <w:r>
        <w:t>Schema migration, data migration, rollback, reconciliation, and cutover are rehearsed.</w:t>
      </w:r>
    </w:p>
    <w:p w14:paraId="4F31B06F" w14:textId="77777777" w:rsidR="00F43C3D" w:rsidRDefault="00F43C3D" w:rsidP="00F43C3D">
      <w:pPr>
        <w:pStyle w:val="ListParagraph"/>
        <w:numPr>
          <w:ilvl w:val="0"/>
          <w:numId w:val="11"/>
        </w:numPr>
      </w:pPr>
      <w:r>
        <w:t>Dependencies, portability, end-of-life, and exit strategy are accepted.</w:t>
      </w:r>
    </w:p>
    <w:p w14:paraId="404A790D" w14:textId="77777777" w:rsidR="00F43C3D" w:rsidRDefault="00F43C3D" w:rsidP="00F43C3D">
      <w:pPr>
        <w:pStyle w:val="ListParagraph"/>
        <w:numPr>
          <w:ilvl w:val="0"/>
          <w:numId w:val="11"/>
        </w:numPr>
      </w:pPr>
      <w:r>
        <w:t>Residual risks and exceptions have owners, compensating controls, and expiry dates.</w:t>
      </w:r>
    </w:p>
    <w:p w14:paraId="7ADCE2E7" w14:textId="77777777" w:rsidR="0053076A" w:rsidRDefault="0053076A"/>
    <w:sectPr w:rsidR="00530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27BD5"/>
    <w:multiLevelType w:val="multilevel"/>
    <w:tmpl w:val="FFF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E027E"/>
    <w:multiLevelType w:val="multilevel"/>
    <w:tmpl w:val="B25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C766F"/>
    <w:multiLevelType w:val="multilevel"/>
    <w:tmpl w:val="B39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50D1B"/>
    <w:multiLevelType w:val="multilevel"/>
    <w:tmpl w:val="D73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E2D30"/>
    <w:multiLevelType w:val="multilevel"/>
    <w:tmpl w:val="8BC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11C0F"/>
    <w:multiLevelType w:val="multilevel"/>
    <w:tmpl w:val="224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E329E"/>
    <w:multiLevelType w:val="multilevel"/>
    <w:tmpl w:val="290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F532A"/>
    <w:multiLevelType w:val="multilevel"/>
    <w:tmpl w:val="DB02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940ED"/>
    <w:multiLevelType w:val="multilevel"/>
    <w:tmpl w:val="281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03810"/>
    <w:multiLevelType w:val="multilevel"/>
    <w:tmpl w:val="F8081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D3F07"/>
    <w:multiLevelType w:val="multilevel"/>
    <w:tmpl w:val="658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379144">
    <w:abstractNumId w:val="7"/>
  </w:num>
  <w:num w:numId="2" w16cid:durableId="543563504">
    <w:abstractNumId w:val="1"/>
  </w:num>
  <w:num w:numId="3" w16cid:durableId="951396656">
    <w:abstractNumId w:val="2"/>
  </w:num>
  <w:num w:numId="4" w16cid:durableId="450831664">
    <w:abstractNumId w:val="0"/>
  </w:num>
  <w:num w:numId="5" w16cid:durableId="1157190091">
    <w:abstractNumId w:val="4"/>
  </w:num>
  <w:num w:numId="6" w16cid:durableId="1779105792">
    <w:abstractNumId w:val="10"/>
  </w:num>
  <w:num w:numId="7" w16cid:durableId="902645983">
    <w:abstractNumId w:val="8"/>
  </w:num>
  <w:num w:numId="8" w16cid:durableId="589508011">
    <w:abstractNumId w:val="3"/>
  </w:num>
  <w:num w:numId="9" w16cid:durableId="513807089">
    <w:abstractNumId w:val="9"/>
  </w:num>
  <w:num w:numId="10" w16cid:durableId="581110172">
    <w:abstractNumId w:val="6"/>
  </w:num>
  <w:num w:numId="11" w16cid:durableId="894855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AE"/>
    <w:rsid w:val="001103E4"/>
    <w:rsid w:val="0053076A"/>
    <w:rsid w:val="009609AE"/>
    <w:rsid w:val="00982B98"/>
    <w:rsid w:val="00A16504"/>
    <w:rsid w:val="00B25B46"/>
    <w:rsid w:val="00BE581E"/>
    <w:rsid w:val="00F02150"/>
    <w:rsid w:val="00F43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F5921"/>
  <w15:chartTrackingRefBased/>
  <w15:docId w15:val="{0C77B877-BA81-4098-8041-928A7260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9AE"/>
    <w:rPr>
      <w:rFonts w:eastAsiaTheme="majorEastAsia" w:cstheme="majorBidi"/>
      <w:color w:val="272727" w:themeColor="text1" w:themeTint="D8"/>
    </w:rPr>
  </w:style>
  <w:style w:type="paragraph" w:styleId="Title">
    <w:name w:val="Title"/>
    <w:basedOn w:val="Normal"/>
    <w:next w:val="Normal"/>
    <w:link w:val="TitleChar"/>
    <w:uiPriority w:val="10"/>
    <w:qFormat/>
    <w:rsid w:val="009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9609AE"/>
    <w:rPr>
      <w:i/>
      <w:iCs/>
      <w:color w:val="404040" w:themeColor="text1" w:themeTint="BF"/>
    </w:rPr>
  </w:style>
  <w:style w:type="paragraph" w:styleId="ListParagraph">
    <w:name w:val="List Paragraph"/>
    <w:basedOn w:val="Normal"/>
    <w:uiPriority w:val="34"/>
    <w:qFormat/>
    <w:rsid w:val="009609AE"/>
    <w:pPr>
      <w:ind w:left="720"/>
      <w:contextualSpacing/>
    </w:pPr>
  </w:style>
  <w:style w:type="character" w:styleId="IntenseEmphasis">
    <w:name w:val="Intense Emphasis"/>
    <w:basedOn w:val="DefaultParagraphFont"/>
    <w:uiPriority w:val="21"/>
    <w:qFormat/>
    <w:rsid w:val="009609AE"/>
    <w:rPr>
      <w:i/>
      <w:iCs/>
      <w:color w:val="0F4761" w:themeColor="accent1" w:themeShade="BF"/>
    </w:rPr>
  </w:style>
  <w:style w:type="paragraph" w:styleId="IntenseQuote">
    <w:name w:val="Intense Quote"/>
    <w:basedOn w:val="Normal"/>
    <w:next w:val="Normal"/>
    <w:link w:val="IntenseQuoteChar"/>
    <w:uiPriority w:val="30"/>
    <w:qFormat/>
    <w:rsid w:val="009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9AE"/>
    <w:rPr>
      <w:i/>
      <w:iCs/>
      <w:color w:val="0F4761" w:themeColor="accent1" w:themeShade="BF"/>
    </w:rPr>
  </w:style>
  <w:style w:type="character" w:styleId="IntenseReference">
    <w:name w:val="Intense Reference"/>
    <w:basedOn w:val="DefaultParagraphFont"/>
    <w:uiPriority w:val="32"/>
    <w:qFormat/>
    <w:rsid w:val="009609AE"/>
    <w:rPr>
      <w:b/>
      <w:bCs/>
      <w:smallCaps/>
      <w:color w:val="0F4761" w:themeColor="accent1" w:themeShade="BF"/>
      <w:spacing w:val="5"/>
    </w:rPr>
  </w:style>
  <w:style w:type="character" w:styleId="BookTitle">
    <w:name w:val="Book Title"/>
    <w:basedOn w:val="DefaultParagraphFont"/>
    <w:uiPriority w:val="33"/>
    <w:qFormat/>
    <w:rsid w:val="009609AE"/>
    <w:rPr>
      <w:b/>
      <w:bCs/>
      <w:i/>
      <w:iCs/>
      <w:spacing w:val="5"/>
    </w:rPr>
  </w:style>
  <w:style w:type="paragraph" w:styleId="Caption">
    <w:name w:val="caption"/>
    <w:basedOn w:val="Normal"/>
    <w:next w:val="Normal"/>
    <w:uiPriority w:val="35"/>
    <w:semiHidden/>
    <w:unhideWhenUsed/>
    <w:qFormat/>
    <w:rsid w:val="009609AE"/>
    <w:pPr>
      <w:spacing w:after="200" w:line="240" w:lineRule="auto"/>
    </w:pPr>
    <w:rPr>
      <w:i/>
      <w:iCs/>
      <w:color w:val="0E2841" w:themeColor="text2"/>
      <w:sz w:val="18"/>
      <w:szCs w:val="18"/>
    </w:rPr>
  </w:style>
  <w:style w:type="character" w:styleId="Emphasis">
    <w:name w:val="Emphasis"/>
    <w:basedOn w:val="DefaultParagraphFont"/>
    <w:uiPriority w:val="20"/>
    <w:qFormat/>
    <w:rsid w:val="009609AE"/>
    <w:rPr>
      <w:i/>
      <w:iCs/>
    </w:rPr>
  </w:style>
  <w:style w:type="paragraph" w:styleId="NoSpacing">
    <w:name w:val="No Spacing"/>
    <w:uiPriority w:val="1"/>
    <w:qFormat/>
    <w:rsid w:val="009609AE"/>
    <w:pPr>
      <w:spacing w:after="0" w:line="240" w:lineRule="auto"/>
    </w:pPr>
  </w:style>
  <w:style w:type="character" w:styleId="Strong">
    <w:name w:val="Strong"/>
    <w:basedOn w:val="DefaultParagraphFont"/>
    <w:uiPriority w:val="22"/>
    <w:qFormat/>
    <w:rsid w:val="009609AE"/>
    <w:rPr>
      <w:b/>
      <w:bCs/>
    </w:rPr>
  </w:style>
  <w:style w:type="character" w:styleId="SubtleEmphasis">
    <w:name w:val="Subtle Emphasis"/>
    <w:basedOn w:val="DefaultParagraphFont"/>
    <w:uiPriority w:val="19"/>
    <w:qFormat/>
    <w:rsid w:val="009609AE"/>
    <w:rPr>
      <w:i/>
      <w:iCs/>
      <w:color w:val="404040" w:themeColor="text1" w:themeTint="BF"/>
    </w:rPr>
  </w:style>
  <w:style w:type="character" w:styleId="SubtleReference">
    <w:name w:val="Subtle Reference"/>
    <w:basedOn w:val="DefaultParagraphFont"/>
    <w:uiPriority w:val="31"/>
    <w:qFormat/>
    <w:rsid w:val="009609AE"/>
    <w:rPr>
      <w:smallCaps/>
      <w:color w:val="5A5A5A" w:themeColor="text1" w:themeTint="A5"/>
    </w:rPr>
  </w:style>
  <w:style w:type="paragraph" w:styleId="TOCHeading">
    <w:name w:val="TOC Heading"/>
    <w:basedOn w:val="Heading1"/>
    <w:next w:val="Normal"/>
    <w:uiPriority w:val="39"/>
    <w:semiHidden/>
    <w:unhideWhenUsed/>
    <w:qFormat/>
    <w:rsid w:val="009609AE"/>
    <w:pPr>
      <w:spacing w:before="240" w:after="0"/>
      <w:outlineLvl w:val="9"/>
    </w:pPr>
    <w:rPr>
      <w:sz w:val="32"/>
      <w:szCs w:val="32"/>
    </w:rPr>
  </w:style>
  <w:style w:type="paragraph" w:styleId="NormalWeb">
    <w:name w:val="Normal (Web)"/>
    <w:basedOn w:val="Normal"/>
    <w:uiPriority w:val="99"/>
    <w:semiHidden/>
    <w:unhideWhenUsed/>
    <w:rsid w:val="009609AE"/>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F43C3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2964</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Rajaraman Soundararajan</dc:creator>
  <cp:keywords/>
  <dc:description/>
  <cp:lastModifiedBy>Rajaraman Soundararajan</cp:lastModifiedBy>
  <cp:revision>1</cp:revision>
  <dcterms:created xsi:type="dcterms:W3CDTF">2026-09-13T15:10:00Z</dcterms:created>
  <dcterms:modified xsi:type="dcterms:W3CDTF">2026-09-13T15:22:00Z</dcterms:modified>
</cp:coreProperties>
</file>