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78A72"/>
          <w:spacing w:val="20"/>
          <w:sz w:val="18"/>
          <w:szCs w:val="18"/>
        </w:rPr>
        <w:t xml:space="preserve">REFERENCE ARCHITECTURE</w:t>
      </w:r>
    </w:p>
    <w:p>
      <w:pPr>
        <w:pStyle w:val="Title"/>
        <w:spacing w:after="160"/>
      </w:pPr>
      <w:r>
        <w:rPr>
          <w:b/>
          <w:bCs/>
          <w:color w:val="1B2430"/>
          <w:sz w:val="40"/>
          <w:szCs w:val="40"/>
        </w:rPr>
        <w:t xml:space="preserve">Power Automate → FSx for ONTAP</w:t>
      </w:r>
    </w:p>
    <w:p>
      <w:pPr>
        <w:spacing w:after="320"/>
      </w:pPr>
      <w:r>
        <w:rPr>
          <w:i/>
          <w:iCs/>
          <w:color w:val="5B6875"/>
          <w:sz w:val="21"/>
          <w:szCs w:val="21"/>
        </w:rPr>
        <w:t xml:space="preserve">How a Power Automate flow's file-system action reaches an SMB share on Amazon FSx for NetApp ONTAP — relayed through an on-premises data gateway running inside the VPC, which authenticates to Active Directory on both ends of the hop.</w:t>
      </w:r>
    </w:p>
    <w:p>
      <w:pPr>
        <w:pStyle w:val="Heading1"/>
        <w:spacing w:after="200" w:before="120"/>
      </w:pPr>
      <w:r>
        <w:rPr>
          <w:b/>
          <w:bCs/>
          <w:color w:val="1B2430"/>
          <w:sz w:val="26"/>
          <w:szCs w:val="26"/>
        </w:rPr>
        <w:t xml:space="preserve">Architecture Overview</w:t>
      </w:r>
    </w:p>
    <w:p>
      <w:pPr>
        <w:spacing w:after="120"/>
        <w:jc w:val="center"/>
      </w:pPr>
      <w:r>
        <w:drawing>
          <wp:inline distT="0" distB="0" distL="0" distR="0">
            <wp:extent cx="59436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B6875"/>
          <w:sz w:val="19"/>
          <w:szCs w:val="19"/>
        </w:rPr>
        <w:t xml:space="preserve">Data path — file write over SMB (teal, solid)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5B6875"/>
          <w:sz w:val="19"/>
          <w:szCs w:val="19"/>
        </w:rPr>
        <w:t xml:space="preserve">Auth path — Kerberos / LDAP to Active Directory (grey, dashed)</w:t>
      </w:r>
    </w:p>
    <w:p>
      <w:pPr>
        <w:pBdr>
          <w:top w:val="single" w:color="C7D0D9" w:sz="4"/>
        </w:pBdr>
        <w:spacing w:after="320" w:before="80"/>
      </w:pPr>
      <w:r>
        <w:rPr>
          <w:i/>
          <w:iCs/>
          <w:color w:val="5B6875"/>
          <w:sz w:val="18"/>
          <w:szCs w:val="18"/>
        </w:rPr>
        <w:t xml:space="preserve">The flow's file-system action doesn't reach AWS directly — the gateway service polls Microsoft's cloud over an outbound-only HTTPS connection, receives the action, then executes the file write locally over SMB against the ONTAP storage virtual machine. Names shown (svm-01, corp.local, DOMAIN\svc-gw) are illustrative placeholders.</w:t>
      </w:r>
    </w:p>
    <w:p>
      <w:pPr>
        <w:pStyle w:val="Heading1"/>
        <w:spacing w:after="200" w:before="120"/>
      </w:pPr>
      <w:r>
        <w:rPr>
          <w:b/>
          <w:bCs/>
          <w:color w:val="1B2430"/>
          <w:sz w:val="26"/>
          <w:szCs w:val="26"/>
        </w:rPr>
        <w:t xml:space="preserve">Ports, Protocols, and Limits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430"/>
                <w:sz w:val="19"/>
                <w:szCs w:val="19"/>
              </w:rPr>
              <w:t xml:space="preserve">Cloud ↔ gateway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Outbound HTTPS 443, gateway-initiated poll — no inbound firewall rule needed on the VPC side.</w:t>
            </w:r>
          </w:p>
        </w:tc>
      </w:tr>
      <w:tr>
        <w:tc>
          <w:tcPr>
            <w:tcW w:type="dxa" w:w="24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430"/>
                <w:sz w:val="19"/>
                <w:szCs w:val="19"/>
              </w:rPr>
              <w:t xml:space="preserve">Gateway ↔ storage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SMB over TCP 445, addressed as a UNC path such as \\svm-01\reports.</w:t>
            </w:r>
          </w:p>
        </w:tc>
      </w:tr>
      <w:tr>
        <w:tc>
          <w:tcPr>
            <w:tcW w:type="dxa" w:w="24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43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Kerberos/LDAP against Active Directory; the gateway connection stores a DOMAIN\user credential pair.</w:t>
            </w:r>
          </w:p>
        </w:tc>
      </w:tr>
      <w:tr>
        <w:tc>
          <w:tcPr>
            <w:tcW w:type="dxa" w:w="24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430"/>
                <w:sz w:val="19"/>
                <w:szCs w:val="19"/>
              </w:rPr>
              <w:t xml:space="preserve">Protocol requirement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The SVM must expose the target volume as an SMB share — NFS-only exports aren't reachable through this connector.</w:t>
            </w:r>
          </w:p>
        </w:tc>
      </w:tr>
      <w:tr>
        <w:tc>
          <w:tcPr>
            <w:tcW w:type="dxa" w:w="24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430"/>
                <w:sz w:val="19"/>
                <w:szCs w:val="19"/>
              </w:rPr>
              <w:t xml:space="preserve">Per-call size limits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20 MB on Create file, 30 MB on Update file (File System connector ceiling).</w:t>
            </w:r>
          </w:p>
        </w:tc>
      </w:tr>
      <w:tr>
        <w:tc>
          <w:tcPr>
            <w:tcW w:type="dxa" w:w="24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430"/>
                <w:sz w:val="19"/>
                <w:szCs w:val="19"/>
              </w:rPr>
              <w:t xml:space="preserve">Throttling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~100 calls / 60s and 1000 MB / 60s, enforced per gateway connection.</w:t>
            </w:r>
          </w:p>
        </w:tc>
      </w:tr>
      <w:tr>
        <w:tc>
          <w:tcPr>
            <w:tcW w:type="dxa" w:w="24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430"/>
                <w:sz w:val="19"/>
                <w:szCs w:val="19"/>
              </w:rPr>
              <w:t xml:space="preserve">Gateway placement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A domain-joined Windows host with network access to the SVM — typically an EC2 instance in the same VPC, or reachable via peering / Direct Connect.</w:t>
            </w:r>
          </w:p>
        </w:tc>
      </w:tr>
      <w:tr>
        <w:tc>
          <w:tcPr>
            <w:tcW w:type="dxa" w:w="2400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430"/>
                <w:sz w:val="19"/>
                <w:szCs w:val="19"/>
              </w:rPr>
              <w:t xml:space="preserve">Connection scope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Gateway connections aren't shareable — each flow author configures their own against the registered gateway.</w:t>
            </w:r>
          </w:p>
        </w:tc>
      </w:tr>
    </w:tbl>
    <w:p>
      <w:pPr>
        <w:spacing w:before="320"/>
      </w:pPr>
    </w:p>
    <w:p>
      <w:pPr>
        <w:pStyle w:val="Heading1"/>
        <w:spacing w:after="200" w:before="120"/>
      </w:pPr>
      <w:r>
        <w:rPr>
          <w:b/>
          <w:bCs/>
          <w:color w:val="1B2430"/>
          <w:sz w:val="26"/>
          <w:szCs w:val="26"/>
        </w:rPr>
        <w:t xml:space="preserve">Installing the Gateway Service on an EC2 Instance</w:t>
      </w:r>
    </w:p>
    <w:p>
      <w:pPr>
        <w:spacing w:after="100"/>
      </w:pPr>
      <w:r>
        <w:rPr>
          <w:b/>
          <w:bCs/>
          <w:color w:val="1B2430"/>
          <w:sz w:val="21"/>
          <w:szCs w:val="21"/>
        </w:rPr>
        <w:t xml:space="preserve">1. Provision the EC2 instance. </w:t>
      </w:r>
      <w:r>
        <w:rPr>
          <w:color w:val="1B2430"/>
          <w:sz w:val="21"/>
          <w:szCs w:val="21"/>
        </w:rPr>
        <w:t xml:space="preserve">Use a Windows Server AMI (2019, 2022, or 2025 — not Server Core, and not a domain controller). Microsoft's baseline is 8 vCPU / 8 GB RAM with SSD-backed storage for good throughput. Place it in a subnet with a route to your FSx for ONTAP SVM and outbound internet access via an internet gateway or NAT gateway — the gateway only calls out to Microsoft, never in.</w:t>
      </w:r>
    </w:p>
    <w:p>
      <w:pPr>
        <w:spacing w:after="100"/>
      </w:pPr>
      <w:r>
        <w:rPr>
          <w:b/>
          <w:bCs/>
          <w:color w:val="1B2430"/>
          <w:sz w:val="21"/>
          <w:szCs w:val="21"/>
        </w:rPr>
        <w:t xml:space="preserve">2. Domain-join the instance. </w:t>
      </w:r>
      <w:r>
        <w:rPr>
          <w:color w:val="1B2430"/>
          <w:sz w:val="21"/>
          <w:szCs w:val="21"/>
        </w:rPr>
        <w:t xml:space="preserve">Since the File System connector authenticates to the SVM via Kerberos, this EC2 host must be joined to the same Active Directory as the SVM — AWS Managed Microsoft AD or self-managed AD, whichever the SVM uses. Do this via the standard domain-join workflow, or AWS Directory Service's seamless EC2 join if using Managed AD.</w:t>
      </w:r>
    </w:p>
    <w:p>
      <w:pPr>
        <w:spacing w:after="100"/>
      </w:pPr>
      <w:r>
        <w:rPr>
          <w:b/>
          <w:bCs/>
          <w:color w:val="1B2430"/>
          <w:sz w:val="21"/>
          <w:szCs w:val="21"/>
        </w:rPr>
        <w:t xml:space="preserve">3. Open outbound firewall / security-group rules. </w:t>
      </w:r>
      <w:r>
        <w:rPr>
          <w:color w:val="1B2430"/>
          <w:sz w:val="21"/>
          <w:szCs w:val="21"/>
        </w:rPr>
        <w:t xml:space="preserve">Allow outbound TCP 443 and 80 (auth, download, connectivity checks), 5671–5672 (AMQP messaging), and 9350–9354 (Azure Relay), directed at *.servicebus.windows.net and the Microsoft login/download domains. No inbound rule is needed for the gateway itself — only a temporary, IP-scoped inbound RDP (3389) rule for the install.</w:t>
      </w:r>
    </w:p>
    <w:p>
      <w:pPr>
        <w:spacing w:after="100"/>
      </w:pPr>
      <w:r>
        <w:rPr>
          <w:b/>
          <w:bCs/>
          <w:color w:val="1B2430"/>
          <w:sz w:val="21"/>
          <w:szCs w:val="21"/>
        </w:rPr>
        <w:t xml:space="preserve">4. RDP in and run the installer as a local admin. </w:t>
      </w:r>
      <w:r>
        <w:rPr>
          <w:color w:val="1B2430"/>
          <w:sz w:val="21"/>
          <w:szCs w:val="21"/>
        </w:rPr>
        <w:t xml:space="preserve">Download the standard gateway installer from Microsoft, keep the default install path, accept the terms, and install.</w:t>
      </w:r>
    </w:p>
    <w:p>
      <w:pPr>
        <w:spacing w:after="100"/>
      </w:pPr>
      <w:r>
        <w:rPr>
          <w:b/>
          <w:bCs/>
          <w:color w:val="1B2430"/>
          <w:sz w:val="21"/>
          <w:szCs w:val="21"/>
        </w:rPr>
        <w:t xml:space="preserve">5. Sign in with a Microsoft work/school account. </w:t>
      </w:r>
      <w:r>
        <w:rPr>
          <w:color w:val="1B2430"/>
          <w:sz w:val="21"/>
          <w:szCs w:val="21"/>
        </w:rPr>
        <w:t xml:space="preserve">Use an account in your organization's Microsoft Entra ID tenant — the same tenant your Power Automate environment belongs to — not a personal Microsoft account.</w:t>
      </w:r>
    </w:p>
    <w:p>
      <w:pPr>
        <w:spacing w:after="100"/>
      </w:pPr>
      <w:r>
        <w:rPr>
          <w:b/>
          <w:bCs/>
          <w:color w:val="1B2430"/>
          <w:sz w:val="21"/>
          <w:szCs w:val="21"/>
        </w:rPr>
        <w:t xml:space="preserve">6. Register the gateway. </w:t>
      </w:r>
      <w:r>
        <w:rPr>
          <w:color w:val="1B2430"/>
          <w:sz w:val="21"/>
          <w:szCs w:val="21"/>
        </w:rPr>
        <w:t xml:space="preserve">Choose “Register a new gateway on this computer,” give it a tenant-unique name, and set the region. Store the recovery key issued at this step in Secrets Manager or a password vault — Microsoft cannot recover it if lost, and it's required to add a second gateway to the same cluster later.</w:t>
      </w:r>
    </w:p>
    <w:p>
      <w:pPr>
        <w:spacing w:after="100"/>
      </w:pPr>
      <w:r>
        <w:rPr>
          <w:b/>
          <w:bCs/>
          <w:color w:val="1B2430"/>
          <w:sz w:val="21"/>
          <w:szCs w:val="21"/>
        </w:rPr>
        <w:t xml:space="preserve">7. Assign gateway admins. </w:t>
      </w:r>
      <w:r>
        <w:rPr>
          <w:color w:val="1B2430"/>
          <w:sz w:val="21"/>
          <w:szCs w:val="21"/>
        </w:rPr>
        <w:t xml:space="preserve">In the Power Platform admin center, add whoever needs to manage the gateway or create connections through it — connections themselves aren't shareable, so each flow author configures their own.</w:t>
      </w:r>
    </w:p>
    <w:p>
      <w:pPr>
        <w:spacing w:after="260"/>
      </w:pPr>
      <w:r>
        <w:rPr>
          <w:b/>
          <w:bCs/>
          <w:color w:val="1B2430"/>
          <w:sz w:val="21"/>
          <w:szCs w:val="21"/>
        </w:rPr>
        <w:t xml:space="preserve">8. (Optional) Add a second gateway for HA. </w:t>
      </w:r>
      <w:r>
        <w:rPr>
          <w:color w:val="1B2430"/>
          <w:sz w:val="21"/>
          <w:szCs w:val="21"/>
        </w:rPr>
        <w:t xml:space="preserve">Repeat steps 1–6 on a second EC2 instance, choosing “Add to an existing gateway cluster” and supplying the first gateway's recovery key — this removes the single point of failure.</w:t>
      </w:r>
    </w:p>
    <w:p>
      <w:pPr>
        <w:pBdr>
          <w:top w:val="single" w:color="C7D0D9" w:sz="4"/>
          <w:bottom w:val="single" w:color="C7D0D9" w:sz="4"/>
          <w:left w:val="single" w:color="C7D0D9" w:sz="4"/>
          <w:right w:val="single" w:color="C7D0D9" w:sz="4"/>
        </w:pBdr>
        <w:shd w:fill="F2F4F6" w:val="clear"/>
        <w:spacing w:after="320" w:before="120"/>
      </w:pPr>
      <w:r>
        <w:rPr>
          <w:color w:val="1B2430"/>
          <w:sz w:val="19"/>
          <w:szCs w:val="19"/>
        </w:rPr>
        <w:t xml:space="preserve">Note for reusable-pattern documentation: Microsoft recommends against installing the gateway on a machine that is frequently turned off, asleep, or disconnected. If this becomes a standard pattern, exclude the gateway host from any scheduled stop/start instance automation.</w:t>
      </w:r>
    </w:p>
    <w:p>
      <w:pPr>
        <w:pStyle w:val="Heading2"/>
        <w:spacing w:after="120" w:before="120"/>
      </w:pPr>
      <w:r>
        <w:rPr>
          <w:b/>
          <w:bCs/>
          <w:color w:val="1B2430"/>
          <w:sz w:val="22"/>
          <w:szCs w:val="22"/>
        </w:rPr>
        <w:t xml:space="preserve">Sources</w:t>
      </w:r>
    </w:p>
    <w:p>
      <w:pPr>
        <w:spacing w:after="60"/>
      </w:pPr>
      <w:r>
        <w:rPr>
          <w:color w:val="5B6875"/>
          <w:sz w:val="18"/>
          <w:szCs w:val="18"/>
        </w:rPr>
        <w:t xml:space="preserve">Install an on-premises data gateway — Microsoft Learn: https://learn.microsoft.com/en-us/data-integration/gateway/service-gateway-install</w:t>
      </w:r>
    </w:p>
    <w:p>
      <w:pPr>
        <w:spacing w:after="60"/>
      </w:pPr>
      <w:r>
        <w:rPr>
          <w:color w:val="5B6875"/>
          <w:sz w:val="18"/>
          <w:szCs w:val="18"/>
        </w:rPr>
        <w:t xml:space="preserve">Adjust communication settings for the on-premises data gateway — Microsoft Learn: https://learn.microsoft.com/en-us/data-integration/gateway/service-gateway-communication</w:t>
      </w:r>
    </w:p>
    <w:p>
      <w:pPr>
        <w:spacing w:after="60"/>
      </w:pPr>
      <w:r>
        <w:rPr>
          <w:color w:val="5B6875"/>
          <w:sz w:val="18"/>
          <w:szCs w:val="18"/>
        </w:rPr>
        <w:t xml:space="preserve">File System connector reference — Microsoft Learn: https://learn.microsoft.com/en-us/connectors/filesystem/</w:t>
      </w:r>
    </w:p>
    <w:p>
      <w:r>
        <w:rPr>
          <w:color w:val="5B6875"/>
          <w:sz w:val="18"/>
          <w:szCs w:val="18"/>
        </w:rPr>
        <w:t xml:space="preserve">Managing FSx for ONTAP resources using NetApp applications — AWS Docs: https://docs.aws.amazon.com/fsx/latest/ONTAPGuide/managing-resources-ontap-apps.html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50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star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a3b96fe21943be0e04f520943abf302b9e004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2026-09-15T21:23:23.568Z</dcterms:created>
  <dcterms:modified xsi:type="dcterms:W3CDTF">2026-09-15T21:23:23.578Z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