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rFonts w:ascii="Arial" w:cs="Arial" w:eastAsia="Arial" w:hAnsi="Arial"/>
          <w:sz w:val="22"/>
          <w:szCs w:val="22"/>
        </w:rPr>
        <w:t xml:space="preserve">Hi all,</w:t>
      </w:r>
    </w:p>
    <w:p>
      <w:pPr>
        <w:spacing w:after="80"/>
      </w:pPr>
      <w:r>
        <w:rPr>
          <w:rFonts w:ascii="Arial" w:cs="Arial" w:eastAsia="Arial" w:hAnsi="Arial"/>
          <w:sz w:val="22"/>
          <w:szCs w:val="22"/>
        </w:rPr>
        <w:t xml:space="preserve"/>
      </w:r>
    </w:p>
    <w:p>
      <w:pPr>
        <w:spacing w:after="100"/>
      </w:pPr>
      <w:r>
        <w:rPr>
          <w:rFonts w:ascii="Arial" w:cs="Arial" w:eastAsia="Arial" w:hAnsi="Arial"/>
          <w:sz w:val="22"/>
          <w:szCs w:val="22"/>
        </w:rPr>
        <w:t xml:space="preserve">Wanted to share an update on the parsing validation work for the Cribl migration. I reviewed event samples flowing through both destinations - Azure Sentinel via DCR and Cortex XSIAM - and compared them against the official schema references. Here is where we stand.</w:t>
      </w:r>
    </w:p>
    <w:p>
      <w:pPr>
        <w:spacing w:after="80"/>
      </w:pPr>
      <w:r>
        <w:rPr>
          <w:rFonts w:ascii="Arial" w:cs="Arial" w:eastAsia="Arial" w:hAnsi="Arial"/>
          <w:sz w:val="22"/>
          <w:szCs w:val="22"/>
        </w:rPr>
        <w:t xml:space="preserve"/>
      </w:r>
    </w:p>
    <w:p>
      <w:pPr>
        <w:pBdr>
          <w:bottom w:val="single" w:color="1F4E79" w:sz="4"/>
        </w:pBdr>
        <w:spacing w:after="120" w:before="240"/>
      </w:pPr>
      <w:r>
        <w:rPr>
          <w:rFonts w:ascii="Arial" w:cs="Arial" w:eastAsia="Arial" w:hAnsi="Arial"/>
          <w:b/>
          <w:bCs/>
          <w:color w:val="1F4E79"/>
          <w:sz w:val="24"/>
          <w:szCs w:val="24"/>
        </w:rPr>
        <w:t xml:space="preserve">Azure / DCR Side - Ready to Move Forward</w:t>
      </w:r>
    </w:p>
    <w:p>
      <w:pPr>
        <w:pStyle w:val="ListParagraph"/>
        <w:numPr>
          <w:ilvl w:val="0"/>
          <w:numId w:val="2"/>
        </w:numPr>
        <w:spacing w:after="100"/>
      </w:pPr>
      <w:r>
        <w:rPr>
          <w:rFonts w:ascii="Arial" w:cs="Arial" w:eastAsia="Arial" w:hAnsi="Arial"/>
          <w:b/>
          <w:bCs/>
          <w:sz w:val="22"/>
          <w:szCs w:val="22"/>
        </w:rPr>
        <w:t xml:space="preserve">All 20 columns in our DCR are correctly defined</w:t>
      </w:r>
      <w:r>
        <w:rPr>
          <w:rFonts w:ascii="Arial" w:cs="Arial" w:eastAsia="Arial" w:hAnsi="Arial"/>
          <w:sz w:val="22"/>
          <w:szCs w:val="22"/>
        </w:rPr>
        <w:t xml:space="preserve"> with the right types. Nothing is missing, no type mismatches.</w:t>
      </w:r>
    </w:p>
    <w:p>
      <w:pPr>
        <w:pStyle w:val="ListParagraph"/>
        <w:numPr>
          <w:ilvl w:val="0"/>
          <w:numId w:val="2"/>
        </w:numPr>
        <w:spacing w:after="100"/>
      </w:pPr>
      <w:r>
        <w:rPr>
          <w:rFonts w:ascii="Arial" w:cs="Arial" w:eastAsia="Arial" w:hAnsi="Arial"/>
          <w:sz w:val="22"/>
          <w:szCs w:val="22"/>
        </w:rPr>
        <w:t xml:space="preserve">When you pull events from Log Analytics you will see </w:t>
      </w:r>
      <w:r>
        <w:rPr>
          <w:rFonts w:ascii="Arial" w:cs="Arial" w:eastAsia="Arial" w:hAnsi="Arial"/>
          <w:b/>
          <w:bCs/>
          <w:sz w:val="22"/>
          <w:szCs w:val="22"/>
        </w:rPr>
        <w:t xml:space="preserve">26 columns</w:t>
      </w:r>
      <w:r>
        <w:rPr>
          <w:rFonts w:ascii="Arial" w:cs="Arial" w:eastAsia="Arial" w:hAnsi="Arial"/>
          <w:sz w:val="22"/>
          <w:szCs w:val="22"/>
        </w:rPr>
        <w:t xml:space="preserve"> in the export. Our DCR only defines 20. Here is why:</w:t>
      </w:r>
    </w:p>
    <w:p>
      <w:pPr>
        <w:spacing w:after="80"/>
      </w:pPr>
      <w:r>
        <w:rPr>
          <w:rFonts w:ascii="Arial" w:cs="Arial" w:eastAsia="Arial" w:hAnsi="Arial"/>
          <w:sz w:val="22"/>
          <w:szCs w:val="22"/>
        </w:rPr>
        <w:t xml:space="preserve"/>
      </w:r>
    </w:p>
    <w:p>
      <w:pPr>
        <w:pStyle w:val="ListParagraph"/>
        <w:numPr>
          <w:ilvl w:val="0"/>
          <w:numId w:val="3"/>
        </w:numPr>
        <w:spacing w:after="80"/>
      </w:pPr>
      <w:r>
        <w:rPr>
          <w:rFonts w:ascii="Arial" w:cs="Arial" w:eastAsia="Arial" w:hAnsi="Arial"/>
          <w:b/>
          <w:bCs/>
          <w:sz w:val="22"/>
          <w:szCs w:val="22"/>
        </w:rPr>
        <w:t xml:space="preserve">20 columns</w:t>
      </w:r>
      <w:r>
        <w:rPr>
          <w:rFonts w:ascii="Arial" w:cs="Arial" w:eastAsia="Arial" w:hAnsi="Arial"/>
          <w:sz w:val="22"/>
          <w:szCs w:val="22"/>
        </w:rPr>
        <w:t xml:space="preserve"> are the actual Windows event fields that carry event data and that Cribl is responsible for populating - Channel, Computer, EventID, EventData, Provider, SystemProcessId, etc. These are the fields Microsoft documents as the WindowsEvent schema and what our DCR defines.</w:t>
      </w:r>
    </w:p>
    <w:p>
      <w:pPr>
        <w:spacing w:after="80"/>
      </w:pPr>
      <w:r>
        <w:rPr>
          <w:rFonts w:ascii="Arial" w:cs="Arial" w:eastAsia="Arial" w:hAnsi="Arial"/>
          <w:sz w:val="22"/>
          <w:szCs w:val="22"/>
        </w:rPr>
        <w:t xml:space="preserve"/>
      </w:r>
    </w:p>
    <w:p>
      <w:pPr>
        <w:pStyle w:val="ListParagraph"/>
        <w:numPr>
          <w:ilvl w:val="0"/>
          <w:numId w:val="3"/>
        </w:numPr>
        <w:spacing w:after="80"/>
      </w:pPr>
      <w:r>
        <w:rPr>
          <w:rFonts w:ascii="Arial" w:cs="Arial" w:eastAsia="Arial" w:hAnsi="Arial"/>
          <w:b/>
          <w:bCs/>
          <w:sz w:val="22"/>
          <w:szCs w:val="22"/>
        </w:rPr>
        <w:t xml:space="preserve">6 columns</w:t>
      </w:r>
      <w:r>
        <w:rPr>
          <w:rFonts w:ascii="Arial" w:cs="Arial" w:eastAsia="Arial" w:hAnsi="Arial"/>
          <w:sz w:val="22"/>
          <w:szCs w:val="22"/>
        </w:rPr>
        <w:t xml:space="preserve"> are Azure platform system columns that Microsoft includes in the table documentation but are automatically injected by the platform at ingestion. These are not Windows event fields, they do not carry event data, and they must not be defined in a DCR. Defining them in the DCR would cause a schema conflict. They are listed below:</w:t>
      </w:r>
    </w:p>
    <w:p>
      <w:pPr>
        <w:spacing w:after="80"/>
      </w:pPr>
      <w:r>
        <w:rPr>
          <w:rFonts w:ascii="Arial" w:cs="Arial" w:eastAsia="Arial" w:hAnsi="Arial"/>
          <w:sz w:val="22"/>
          <w:szCs w:val="22"/>
        </w:rPr>
        <w:t xml:space="preserve"/>
      </w:r>
    </w:p>
    <w:p>
      <w:pPr>
        <w:ind w:left="10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CCCCCC" w:sz="1"/>
              <w:left w:val="single" w:color="CCCCCC" w:sz="1"/>
              <w:bottom w:val="single" w:color="CCCCCC" w:sz="1"/>
              <w:right w:val="single" w:color="CCCCCC" w:sz="1"/>
            </w:tcBorders>
            <w:shd w:fill="4472C4" w:val="clear"/>
            <w:tcMar>
              <w:top w:type="dxa" w:w="80"/>
              <w:left w:type="dxa" w:w="120"/>
              <w:bottom w:type="dxa" w:w="80"/>
              <w:right w:type="dxa" w:w="120"/>
            </w:tcMar>
          </w:tcPr>
          <w:p>
            <w:pPr>
              <w:spacing w:after="100"/>
            </w:pPr>
            <w:r>
              <w:rPr>
                <w:rFonts w:ascii="Arial" w:cs="Arial" w:eastAsia="Arial" w:hAnsi="Arial"/>
                <w:b/>
                <w:bCs/>
                <w:color w:val="FFFFFF"/>
                <w:sz w:val="20"/>
                <w:szCs w:val="20"/>
              </w:rPr>
              <w:t xml:space="preserve">Column</w:t>
            </w:r>
          </w:p>
        </w:tc>
        <w:tc>
          <w:tcPr>
            <w:tcW w:type="dxa" w:w="1500"/>
            <w:tcBorders>
              <w:top w:val="single" w:color="CCCCCC" w:sz="1"/>
              <w:left w:val="single" w:color="CCCCCC" w:sz="1"/>
              <w:bottom w:val="single" w:color="CCCCCC" w:sz="1"/>
              <w:right w:val="single" w:color="CCCCCC" w:sz="1"/>
            </w:tcBorders>
            <w:shd w:fill="4472C4" w:val="clear"/>
            <w:tcMar>
              <w:top w:type="dxa" w:w="80"/>
              <w:left w:type="dxa" w:w="120"/>
              <w:bottom w:type="dxa" w:w="80"/>
              <w:right w:type="dxa" w:w="120"/>
            </w:tcMar>
          </w:tcPr>
          <w:p>
            <w:pPr>
              <w:spacing w:after="100"/>
            </w:pPr>
            <w:r>
              <w:rPr>
                <w:rFonts w:ascii="Arial" w:cs="Arial" w:eastAsia="Arial" w:hAnsi="Arial"/>
                <w:b/>
                <w:bCs/>
                <w:color w:val="FFFFFF"/>
                <w:sz w:val="20"/>
                <w:szCs w:val="20"/>
              </w:rPr>
              <w:t xml:space="preserve">Type</w:t>
            </w:r>
          </w:p>
        </w:tc>
        <w:tc>
          <w:tcPr>
            <w:tcW w:type="dxa" w:w="5360"/>
            <w:tcBorders>
              <w:top w:val="single" w:color="CCCCCC" w:sz="1"/>
              <w:left w:val="single" w:color="CCCCCC" w:sz="1"/>
              <w:bottom w:val="single" w:color="CCCCCC" w:sz="1"/>
              <w:right w:val="single" w:color="CCCCCC" w:sz="1"/>
            </w:tcBorders>
            <w:shd w:fill="4472C4" w:val="clear"/>
            <w:tcMar>
              <w:top w:type="dxa" w:w="80"/>
              <w:left w:type="dxa" w:w="120"/>
              <w:bottom w:type="dxa" w:w="80"/>
              <w:right w:type="dxa" w:w="120"/>
            </w:tcMar>
          </w:tcPr>
          <w:p>
            <w:pPr>
              <w:spacing w:after="100"/>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TenantId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Arial" w:cs="Arial" w:eastAsia="Arial" w:hAnsi="Arial"/>
                <w:sz w:val="18"/>
                <w:szCs w:val="18"/>
              </w:rPr>
              <w:t xml:space="preserve">Identifies the Log Analytics workspace. Auto-added by Azure.</w:t>
            </w:r>
          </w:p>
        </w:tc>
      </w:tr>
      <w:tr>
        <w:tc>
          <w:tcPr>
            <w:tcW w:type="dxa" w:w="2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Type</w:t>
            </w:r>
          </w:p>
        </w:tc>
        <w:tc>
          <w:tcPr>
            <w:tcW w:type="dxa" w:w="1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c>
          <w:tcPr>
            <w:tcW w:type="dxa" w:w="5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Arial" w:cs="Arial" w:eastAsia="Arial" w:hAnsi="Arial"/>
                <w:sz w:val="18"/>
                <w:szCs w:val="18"/>
              </w:rPr>
              <w:t xml:space="preserve">Always set to WindowsEvent. Identifies the table. Auto-added by Azure.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_ResourceId</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Arial" w:cs="Arial" w:eastAsia="Arial" w:hAnsi="Arial"/>
                <w:sz w:val="18"/>
                <w:szCs w:val="18"/>
              </w:rPr>
              <w:t xml:space="preserve">ARM resource ID of the source resource. Auto-added by Azure.</w:t>
            </w:r>
          </w:p>
        </w:tc>
      </w:tr>
      <w:tr>
        <w:tc>
          <w:tcPr>
            <w:tcW w:type="dxa" w:w="2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_SubscriptionId</w:t>
            </w:r>
          </w:p>
        </w:tc>
        <w:tc>
          <w:tcPr>
            <w:tcW w:type="dxa" w:w="1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c>
          <w:tcPr>
            <w:tcW w:type="dxa" w:w="5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Arial" w:cs="Arial" w:eastAsia="Arial" w:hAnsi="Arial"/>
                <w:sz w:val="18"/>
                <w:szCs w:val="18"/>
              </w:rPr>
              <w:t xml:space="preserve">Azure subscription ID. Auto-added by Azure.</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_IsBillable</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Arial" w:cs="Arial" w:eastAsia="Arial" w:hAnsi="Arial"/>
                <w:sz w:val="18"/>
                <w:szCs w:val="18"/>
              </w:rPr>
              <w:t xml:space="preserve">Indicates whether ingesting this record is billed. Auto-added by Azure.</w:t>
            </w:r>
          </w:p>
        </w:tc>
      </w:tr>
      <w:tr>
        <w:tc>
          <w:tcPr>
            <w:tcW w:type="dxa" w:w="2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_BilledSize</w:t>
            </w:r>
          </w:p>
        </w:tc>
        <w:tc>
          <w:tcPr>
            <w:tcW w:type="dxa" w:w="15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real</w:t>
            </w:r>
          </w:p>
        </w:tc>
        <w:tc>
          <w:tcPr>
            <w:tcW w:type="dxa" w:w="5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Arial" w:cs="Arial" w:eastAsia="Arial" w:hAnsi="Arial"/>
                <w:sz w:val="18"/>
                <w:szCs w:val="18"/>
              </w:rPr>
              <w:t xml:space="preserve">Record size in bytes used for billing. Auto-added by Azure.</w:t>
            </w:r>
          </w:p>
        </w:tc>
      </w:tr>
    </w:tbl>
    <w:p>
      <w:pPr>
        <w:spacing w:after="80"/>
      </w:pPr>
      <w:r>
        <w:rPr>
          <w:rFonts w:ascii="Arial" w:cs="Arial" w:eastAsia="Arial" w:hAnsi="Arial"/>
          <w:sz w:val="22"/>
          <w:szCs w:val="22"/>
        </w:rPr>
        <w:t xml:space="preserve"/>
      </w:r>
    </w:p>
    <w:p>
      <w:pPr>
        <w:pStyle w:val="ListParagraph"/>
        <w:numPr>
          <w:ilvl w:val="0"/>
          <w:numId w:val="2"/>
        </w:numPr>
        <w:spacing w:after="100"/>
      </w:pPr>
      <w:r>
        <w:rPr>
          <w:rFonts w:ascii="Arial" w:cs="Arial" w:eastAsia="Arial" w:hAnsi="Arial"/>
          <w:sz w:val="22"/>
          <w:szCs w:val="22"/>
        </w:rPr>
        <w:t xml:space="preserve">The full 20-column schema in our DCR, validated against Microsoft documentation and Cribl's official WindowsEvent DCR template:</w:t>
      </w:r>
    </w:p>
    <w:p>
      <w:pPr>
        <w:spacing w:after="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c>
          <w:tcPr>
            <w:tcW w:type="dxa" w:w="5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100"/>
            </w:pPr>
            <w:r>
              <w:rPr>
                <w:rFonts w:ascii="Arial" w:cs="Arial" w:eastAsia="Arial" w:hAnsi="Arial"/>
                <w:b/>
                <w:bCs/>
                <w:color w:val="FFFFFF"/>
                <w:sz w:val="20"/>
                <w:szCs w:val="20"/>
              </w:rPr>
              <w:t xml:space="preserve">Column</w:t>
            </w:r>
          </w:p>
        </w:tc>
        <w:tc>
          <w:tcPr>
            <w:tcW w:type="dxa" w:w="4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pPr>
              <w:spacing w:after="100"/>
            </w:pPr>
            <w:r>
              <w:rPr>
                <w:rFonts w:ascii="Arial" w:cs="Arial" w:eastAsia="Arial" w:hAnsi="Arial"/>
                <w:b/>
                <w:bCs/>
                <w:color w:val="FFFFFF"/>
                <w:sz w:val="20"/>
                <w:szCs w:val="20"/>
              </w:rPr>
              <w:t xml:space="preserve">Type</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Channel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r>
      <w:tr>
        <w:tc>
          <w:tcPr>
            <w:tcW w:type="dxa" w:w="5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Computer</w:t>
            </w:r>
          </w:p>
        </w:tc>
        <w:tc>
          <w:tcPr>
            <w:tcW w:type="dxa" w:w="4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Correlation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r>
      <w:tr>
        <w:tc>
          <w:tcPr>
            <w:tcW w:type="dxa" w:w="5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EventData</w:t>
            </w:r>
          </w:p>
        </w:tc>
        <w:tc>
          <w:tcPr>
            <w:tcW w:type="dxa" w:w="4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dynamic</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EventID</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int</w:t>
            </w:r>
          </w:p>
        </w:tc>
      </w:tr>
      <w:tr>
        <w:tc>
          <w:tcPr>
            <w:tcW w:type="dxa" w:w="5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EventLevel</w:t>
            </w:r>
          </w:p>
        </w:tc>
        <w:tc>
          <w:tcPr>
            <w:tcW w:type="dxa" w:w="4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int</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EventLevelName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r>
      <w:tr>
        <w:tc>
          <w:tcPr>
            <w:tcW w:type="dxa" w:w="5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EventOriginId</w:t>
            </w:r>
          </w:p>
        </w:tc>
        <w:tc>
          <w:tcPr>
            <w:tcW w:type="dxa" w:w="4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EventRecordId</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r>
      <w:tr>
        <w:tc>
          <w:tcPr>
            <w:tcW w:type="dxa" w:w="5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Keywords</w:t>
            </w:r>
          </w:p>
        </w:tc>
        <w:tc>
          <w:tcPr>
            <w:tcW w:type="dxa" w:w="4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ManagementGroupName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r>
      <w:tr>
        <w:tc>
          <w:tcPr>
            <w:tcW w:type="dxa" w:w="5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Opcode</w:t>
            </w:r>
          </w:p>
        </w:tc>
        <w:tc>
          <w:tcPr>
            <w:tcW w:type="dxa" w:w="4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Provider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r>
      <w:tr>
        <w:tc>
          <w:tcPr>
            <w:tcW w:type="dxa" w:w="5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RawEventData</w:t>
            </w:r>
          </w:p>
        </w:tc>
        <w:tc>
          <w:tcPr>
            <w:tcW w:type="dxa" w:w="4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SystemProcessId</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int</w:t>
            </w:r>
          </w:p>
        </w:tc>
      </w:tr>
      <w:tr>
        <w:tc>
          <w:tcPr>
            <w:tcW w:type="dxa" w:w="5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SystemThreadId</w:t>
            </w:r>
          </w:p>
        </w:tc>
        <w:tc>
          <w:tcPr>
            <w:tcW w:type="dxa" w:w="4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int</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SystemUserId</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string</w:t>
            </w:r>
          </w:p>
        </w:tc>
      </w:tr>
      <w:tr>
        <w:tc>
          <w:tcPr>
            <w:tcW w:type="dxa" w:w="5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Task</w:t>
            </w:r>
          </w:p>
        </w:tc>
        <w:tc>
          <w:tcPr>
            <w:tcW w:type="dxa" w:w="4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int</w:t>
            </w:r>
          </w:p>
        </w:tc>
      </w:tr>
      <w:tr>
        <w:tc>
          <w:tcPr>
            <w:tcW w:type="dxa" w:w="50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TimeGenerated</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100"/>
            </w:pPr>
            <w:r>
              <w:rPr>
                <w:rFonts w:ascii="Courier New" w:cs="Courier New" w:eastAsia="Courier New" w:hAnsi="Courier New"/>
                <w:sz w:val="18"/>
                <w:szCs w:val="18"/>
              </w:rPr>
              <w:t xml:space="preserve">datetime</w:t>
            </w:r>
          </w:p>
        </w:tc>
      </w:tr>
      <w:tr>
        <w:tc>
          <w:tcPr>
            <w:tcW w:type="dxa" w:w="500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Version</w:t>
            </w:r>
          </w:p>
        </w:tc>
        <w:tc>
          <w:tcPr>
            <w:tcW w:type="dxa" w:w="4360"/>
            <w:tcBorders>
              <w:top w:val="single" w:color="CCCCCC" w:sz="1"/>
              <w:left w:val="single" w:color="CCCCCC" w:sz="1"/>
              <w:bottom w:val="single" w:color="CCCCCC" w:sz="1"/>
              <w:right w:val="single" w:color="CCCCCC" w:sz="1"/>
            </w:tcBorders>
            <w:shd w:fill="EEF3F8" w:val="clear"/>
            <w:tcMar>
              <w:top w:type="dxa" w:w="80"/>
              <w:left w:type="dxa" w:w="120"/>
              <w:bottom w:type="dxa" w:w="80"/>
              <w:right w:type="dxa" w:w="120"/>
            </w:tcMar>
          </w:tcPr>
          <w:p>
            <w:pPr>
              <w:spacing w:after="100"/>
            </w:pPr>
            <w:r>
              <w:rPr>
                <w:rFonts w:ascii="Courier New" w:cs="Courier New" w:eastAsia="Courier New" w:hAnsi="Courier New"/>
                <w:sz w:val="18"/>
                <w:szCs w:val="18"/>
              </w:rPr>
              <w:t xml:space="preserve">int</w:t>
            </w:r>
          </w:p>
        </w:tc>
      </w:tr>
    </w:tbl>
    <w:p>
      <w:pPr>
        <w:spacing w:after="80"/>
      </w:pPr>
      <w:r>
        <w:rPr>
          <w:rFonts w:ascii="Arial" w:cs="Arial" w:eastAsia="Arial" w:hAnsi="Arial"/>
          <w:sz w:val="22"/>
          <w:szCs w:val="22"/>
        </w:rPr>
        <w:t xml:space="preserve"/>
      </w:r>
    </w:p>
    <w:p>
      <w:pPr>
        <w:pStyle w:val="ListParagraph"/>
        <w:numPr>
          <w:ilvl w:val="0"/>
          <w:numId w:val="2"/>
        </w:numPr>
        <w:spacing w:after="100"/>
      </w:pPr>
      <w:r>
        <w:rPr>
          <w:rFonts w:ascii="Arial" w:cs="Arial" w:eastAsia="Arial" w:hAnsi="Arial"/>
          <w:sz w:val="22"/>
          <w:szCs w:val="22"/>
        </w:rPr>
        <w:t xml:space="preserve">References:</w:t>
      </w:r>
    </w:p>
    <w:p>
      <w:pPr>
        <w:pStyle w:val="ListParagraph"/>
        <w:numPr>
          <w:ilvl w:val="0"/>
          <w:numId w:val="3"/>
        </w:numPr>
        <w:spacing w:after="80"/>
      </w:pPr>
      <w:hyperlink w:history="1" r:id="rIdsanu4u75nvnjrhlm5gcfv">
        <w:r>
          <w:rPr>
            <w:rStyle w:val="Hyperlink"/>
            <w:rFonts w:ascii="Arial" w:cs="Arial" w:eastAsia="Arial" w:hAnsi="Arial"/>
            <w:sz w:val="22"/>
            <w:szCs w:val="22"/>
          </w:rPr>
          <w:t xml:space="preserve">Microsoft WindowsEvent Table Schema (official 26-column documentation)</w:t>
        </w:r>
      </w:hyperlink>
    </w:p>
    <w:p>
      <w:pPr>
        <w:pStyle w:val="ListParagraph"/>
        <w:numPr>
          <w:ilvl w:val="0"/>
          <w:numId w:val="3"/>
        </w:numPr>
        <w:spacing w:after="80"/>
      </w:pPr>
      <w:hyperlink w:history="1" r:id="rIdk5evtd_jzgyx-cekny922">
        <w:r>
          <w:rPr>
            <w:rStyle w:val="Hyperlink"/>
            <w:rFonts w:ascii="Arial" w:cs="Arial" w:eastAsia="Arial" w:hAnsi="Arial"/>
            <w:sz w:val="22"/>
            <w:szCs w:val="22"/>
          </w:rPr>
          <w:t xml:space="preserve">Cribl Official WindowsEvent DCR Template (Direct, no DCE)</w:t>
        </w:r>
      </w:hyperlink>
    </w:p>
    <w:p>
      <w:pPr>
        <w:pStyle w:val="ListParagraph"/>
        <w:numPr>
          <w:ilvl w:val="0"/>
          <w:numId w:val="3"/>
        </w:numPr>
        <w:spacing w:after="80"/>
      </w:pPr>
      <w:hyperlink w:history="1" r:id="rIdlkifvie9x2eah2lpygq6s">
        <w:r>
          <w:rPr>
            <w:rStyle w:val="Hyperlink"/>
            <w:rFonts w:ascii="Arial" w:cs="Arial" w:eastAsia="Arial" w:hAnsi="Arial"/>
            <w:sz w:val="22"/>
            <w:szCs w:val="22"/>
          </w:rPr>
          <w:t xml:space="preserve">Cribl Microsoft Sentinel Integration Guide</w:t>
        </w:r>
      </w:hyperlink>
    </w:p>
    <w:p>
      <w:pPr>
        <w:spacing w:after="80"/>
      </w:pPr>
      <w:r>
        <w:rPr>
          <w:rFonts w:ascii="Arial" w:cs="Arial" w:eastAsia="Arial" w:hAnsi="Arial"/>
          <w:sz w:val="22"/>
          <w:szCs w:val="22"/>
        </w:rPr>
        <w:t xml:space="preserve"/>
      </w:r>
    </w:p>
    <w:p>
      <w:pPr>
        <w:pStyle w:val="ListParagraph"/>
        <w:numPr>
          <w:ilvl w:val="0"/>
          <w:numId w:val="2"/>
        </w:numPr>
        <w:spacing w:after="100"/>
      </w:pPr>
      <w:r>
        <w:rPr>
          <w:rFonts w:ascii="Arial" w:cs="Arial" w:eastAsia="Arial" w:hAnsi="Arial"/>
          <w:b/>
          <w:bCs/>
          <w:sz w:val="22"/>
          <w:szCs w:val="22"/>
        </w:rPr>
        <w:t xml:space="preserve">Critical note for the Cribl pipeline team:</w:t>
      </w:r>
      <w:r>
        <w:rPr>
          <w:rFonts w:ascii="Arial" w:cs="Arial" w:eastAsia="Arial" w:hAnsi="Arial"/>
          <w:sz w:val="22"/>
          <w:szCs w:val="22"/>
        </w:rPr>
        <w:t xml:space="preserve"> EventData must be sent as a proper JSON object, not a serialized string. All event-specific sub-fields such as SubjectUserName, CommandLine, and NewProcessName live inside EventData. If sent as a string, every one of those sub-fields will come through as null in Sentinel.</w:t>
      </w:r>
    </w:p>
    <w:p>
      <w:pPr>
        <w:spacing w:after="80"/>
      </w:pPr>
      <w:r>
        <w:rPr>
          <w:rFonts w:ascii="Arial" w:cs="Arial" w:eastAsia="Arial" w:hAnsi="Arial"/>
          <w:sz w:val="22"/>
          <w:szCs w:val="22"/>
        </w:rPr>
        <w:t xml:space="preserve"/>
      </w:r>
    </w:p>
    <w:p>
      <w:pPr>
        <w:pBdr>
          <w:bottom w:val="single" w:color="1F4E79" w:sz="4"/>
        </w:pBdr>
        <w:spacing w:after="120" w:before="240"/>
      </w:pPr>
      <w:r>
        <w:rPr>
          <w:rFonts w:ascii="Arial" w:cs="Arial" w:eastAsia="Arial" w:hAnsi="Arial"/>
          <w:b/>
          <w:bCs/>
          <w:color w:val="1F4E79"/>
          <w:sz w:val="24"/>
          <w:szCs w:val="24"/>
        </w:rPr>
        <w:t xml:space="preserve">XSIAM Side - Vendor Discussion Needed</w:t>
      </w:r>
    </w:p>
    <w:p>
      <w:pPr>
        <w:pStyle w:val="ListParagraph"/>
        <w:numPr>
          <w:ilvl w:val="0"/>
          <w:numId w:val="2"/>
        </w:numPr>
        <w:spacing w:after="100"/>
      </w:pPr>
      <w:r>
        <w:rPr>
          <w:rFonts w:ascii="Arial" w:cs="Arial" w:eastAsia="Arial" w:hAnsi="Arial"/>
          <w:sz w:val="22"/>
          <w:szCs w:val="22"/>
        </w:rPr>
        <w:t xml:space="preserve">XSIAM shows 48 columns for the same events while Azure shows 26. The underlying event data is identical in both. The extra columns come from XSIAM layering its own processing on top:</w:t>
      </w:r>
    </w:p>
    <w:p>
      <w:pPr>
        <w:pStyle w:val="ListParagraph"/>
        <w:numPr>
          <w:ilvl w:val="0"/>
          <w:numId w:val="3"/>
        </w:numPr>
        <w:spacing w:after="80"/>
      </w:pPr>
      <w:r>
        <w:rPr>
          <w:rFonts w:ascii="Arial" w:cs="Arial" w:eastAsia="Arial" w:hAnsi="Arial"/>
          <w:b/>
          <w:bCs/>
          <w:sz w:val="22"/>
          <w:szCs w:val="22"/>
        </w:rPr>
        <w:t xml:space="preserve">XDM Normalisation:</w:t>
      </w:r>
      <w:r>
        <w:rPr>
          <w:rFonts w:ascii="Arial" w:cs="Arial" w:eastAsia="Arial" w:hAnsi="Arial"/>
          <w:sz w:val="22"/>
          <w:szCs w:val="22"/>
        </w:rPr>
        <w:t xml:space="preserve"> XSIAM remaps Windows event fields into its own standardised schema. NewProcessName becomes process_name, CommandLine becomes process_cmd, SubjectUserName becomes user. Same data, different field names.</w:t>
      </w:r>
    </w:p>
    <w:p>
      <w:pPr>
        <w:pStyle w:val="ListParagraph"/>
        <w:numPr>
          <w:ilvl w:val="0"/>
          <w:numId w:val="3"/>
        </w:numPr>
        <w:spacing w:after="80"/>
      </w:pPr>
      <w:r>
        <w:rPr>
          <w:rFonts w:ascii="Arial" w:cs="Arial" w:eastAsia="Arial" w:hAnsi="Arial"/>
          <w:b/>
          <w:bCs/>
          <w:sz w:val="22"/>
          <w:szCs w:val="22"/>
        </w:rPr>
        <w:t xml:space="preserve">Enrichment:</w:t>
      </w:r>
      <w:r>
        <w:rPr>
          <w:rFonts w:ascii="Arial" w:cs="Arial" w:eastAsia="Arial" w:hAnsi="Arial"/>
          <w:sz w:val="22"/>
          <w:szCs w:val="22"/>
        </w:rPr>
        <w:t xml:space="preserve"> Fields like process_md5, process_sha256, event_action, and event_result are derived by XSIAM automatically using threat intelligence and endpoint correlation.</w:t>
      </w:r>
    </w:p>
    <w:p>
      <w:pPr>
        <w:pStyle w:val="ListParagraph"/>
        <w:numPr>
          <w:ilvl w:val="0"/>
          <w:numId w:val="3"/>
        </w:numPr>
        <w:spacing w:after="80"/>
      </w:pPr>
      <w:r>
        <w:rPr>
          <w:rFonts w:ascii="Arial" w:cs="Arial" w:eastAsia="Arial" w:hAnsi="Arial"/>
          <w:b/>
          <w:bCs/>
          <w:sz w:val="22"/>
          <w:szCs w:val="22"/>
        </w:rPr>
        <w:t xml:space="preserve">Collection metadata:</w:t>
      </w:r>
      <w:r>
        <w:rPr>
          <w:rFonts w:ascii="Arial" w:cs="Arial" w:eastAsia="Arial" w:hAnsi="Arial"/>
          <w:sz w:val="22"/>
          <w:szCs w:val="22"/>
        </w:rPr>
        <w:t xml:space="preserve"> Fields like _broker_hostname, _collector_type (WEC), and _broker_ip_address are added by the Cribl/WEC collection layer.</w:t>
      </w:r>
    </w:p>
    <w:p>
      <w:pPr>
        <w:pStyle w:val="ListParagraph"/>
        <w:numPr>
          <w:ilvl w:val="0"/>
          <w:numId w:val="2"/>
        </w:numPr>
        <w:spacing w:after="100"/>
      </w:pPr>
      <w:r>
        <w:rPr>
          <w:rFonts w:ascii="Arial" w:cs="Arial" w:eastAsia="Arial" w:hAnsi="Arial"/>
          <w:sz w:val="22"/>
          <w:szCs w:val="22"/>
        </w:rPr>
        <w:t xml:space="preserve">I will be setting up a call with Palo Alto to understand what format XSIAM expects from Cribl so the existing XDM parsing and field population continues to work the same way it did under the existing process.</w:t>
      </w:r>
    </w:p>
    <w:p>
      <w:pPr>
        <w:spacing w:after="80"/>
      </w:pPr>
      <w:r>
        <w:rPr>
          <w:rFonts w:ascii="Arial" w:cs="Arial" w:eastAsia="Arial" w:hAnsi="Arial"/>
          <w:sz w:val="22"/>
          <w:szCs w:val="22"/>
        </w:rPr>
        <w:t xml:space="preserve"/>
      </w:r>
    </w:p>
    <w:p>
      <w:pPr>
        <w:pBdr>
          <w:bottom w:val="single" w:color="1F4E79" w:sz="4"/>
        </w:pBdr>
        <w:spacing w:after="120" w:before="240"/>
      </w:pPr>
      <w:r>
        <w:rPr>
          <w:rFonts w:ascii="Arial" w:cs="Arial" w:eastAsia="Arial" w:hAnsi="Arial"/>
          <w:b/>
          <w:bCs/>
          <w:color w:val="1F4E79"/>
          <w:sz w:val="24"/>
          <w:szCs w:val="24"/>
        </w:rPr>
        <w:t xml:space="preserve">Next Steps</w:t>
      </w:r>
    </w:p>
    <w:p>
      <w:pPr>
        <w:pStyle w:val="ListParagraph"/>
        <w:numPr>
          <w:ilvl w:val="0"/>
          <w:numId w:val="2"/>
        </w:numPr>
        <w:spacing w:after="100"/>
      </w:pPr>
      <w:r>
        <w:rPr>
          <w:rFonts w:ascii="Arial" w:cs="Arial" w:eastAsia="Arial" w:hAnsi="Arial"/>
          <w:b/>
          <w:bCs/>
          <w:sz w:val="22"/>
          <w:szCs w:val="22"/>
        </w:rPr>
        <w:t xml:space="preserve">DCR/Sentinel:</w:t>
      </w:r>
      <w:r>
        <w:rPr>
          <w:rFonts w:ascii="Arial" w:cs="Arial" w:eastAsia="Arial" w:hAnsi="Arial"/>
          <w:sz w:val="22"/>
          <w:szCs w:val="22"/>
        </w:rPr>
        <w:t xml:space="preserve"> Proceed with Cribl pipeline configuration as planned. Schema is validated and ready.</w:t>
      </w:r>
    </w:p>
    <w:p>
      <w:pPr>
        <w:pStyle w:val="ListParagraph"/>
        <w:numPr>
          <w:ilvl w:val="0"/>
          <w:numId w:val="2"/>
        </w:numPr>
        <w:spacing w:after="100"/>
      </w:pPr>
      <w:r>
        <w:rPr>
          <w:rFonts w:ascii="Arial" w:cs="Arial" w:eastAsia="Arial" w:hAnsi="Arial"/>
          <w:b/>
          <w:bCs/>
          <w:sz w:val="22"/>
          <w:szCs w:val="22"/>
        </w:rPr>
        <w:t xml:space="preserve">XSIAM:</w:t>
      </w:r>
      <w:r>
        <w:rPr>
          <w:rFonts w:ascii="Arial" w:cs="Arial" w:eastAsia="Arial" w:hAnsi="Arial"/>
          <w:sz w:val="22"/>
          <w:szCs w:val="22"/>
        </w:rPr>
        <w:t xml:space="preserve"> Will be scheduling a call with Palo Alto on this.</w:t>
      </w:r>
    </w:p>
    <w:p>
      <w:pPr>
        <w:spacing w:after="80"/>
      </w:pPr>
      <w:r>
        <w:rPr>
          <w:rFonts w:ascii="Arial" w:cs="Arial" w:eastAsia="Arial" w:hAnsi="Arial"/>
          <w:sz w:val="22"/>
          <w:szCs w:val="22"/>
        </w:rPr>
        <w:t xml:space="preserve"/>
      </w:r>
    </w:p>
    <w:p>
      <w:pPr>
        <w:spacing w:after="100"/>
      </w:pPr>
      <w:r>
        <w:rPr>
          <w:rFonts w:ascii="Arial" w:cs="Arial" w:eastAsia="Arial" w:hAnsi="Arial"/>
          <w:sz w:val="22"/>
          <w:szCs w:val="22"/>
        </w:rPr>
        <w:t xml:space="preserve">Let me know if you have any questions in the meantime.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anu4u75nvnjrhlm5gcfv" Type="http://schemas.openxmlformats.org/officeDocument/2006/relationships/hyperlink" Target="https://learn.microsoft.com/en-us/azure/azure-monitor/reference/tables/windowsevent" TargetMode="External"/><Relationship Id="rIdk5evtd_jzgyx-cekny922" Type="http://schemas.openxmlformats.org/officeDocument/2006/relationships/hyperlink" Target="https://github.com/criblio/Cribl-Microsoft/blob/main/Azure/CustomDeploymentTemplates/DCR-Templates/SentinelNativeTables/DataCollectionRules(NoDCE)/WindowsEvent.json" TargetMode="External"/><Relationship Id="rIdlkifvie9x2eah2lpygq6s" Type="http://schemas.openxmlformats.org/officeDocument/2006/relationships/hyperlink" Target="https://docs.cribl.io/stream/usecase-azure-sentinel/"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2026-06-02T11:09:44.086Z</dcterms:created>
  <dcterms:modified xsi:type="dcterms:W3CDTF">2026-06-02T11:09:44.087Z</dcterms:modified>
</cp:coreProperties>
</file>

<file path=docProps/custom.xml><?xml version="1.0" encoding="utf-8"?>
<Properties xmlns="http://schemas.openxmlformats.org/officeDocument/2006/custom-properties" xmlns:vt="http://schemas.openxmlformats.org/officeDocument/2006/docPropsVTypes"/>
</file>