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80"/>
        <w:jc w:val="center"/>
      </w:pPr>
      <w:r>
        <w:rPr>
          <w:rFonts w:ascii="Calibri" w:hAnsi="Calibri"/>
          <w:b/>
          <w:color w:val="46505F"/>
          <w:sz w:val="24"/>
        </w:rPr>
        <w:t>IBM SKILLSBUILD DATA ANALYTICS WITH AI ACADEMIC INTERNSHIP PROGRAM</w:t>
        <w:br/>
        <w:t>IN ASSOCIATION WITH AICTE &amp; BHARATCARES</w:t>
      </w:r>
    </w:p>
    <w:p>
      <w:pPr>
        <w:spacing w:before="720" w:after="240"/>
        <w:jc w:val="center"/>
      </w:pPr>
      <w:r>
        <w:rPr>
          <w:rFonts w:ascii="Calibri" w:hAnsi="Calibri"/>
          <w:b/>
          <w:color w:val="1B365D"/>
          <w:sz w:val="48"/>
        </w:rPr>
        <w:t>IRCTC Railway Booking, Fare and Availability Analysis Using Python</w:t>
      </w:r>
    </w:p>
    <w:p>
      <w:pPr>
        <w:spacing w:after="1200"/>
        <w:jc w:val="center"/>
      </w:pPr>
      <w:r>
        <w:rPr>
          <w:rFonts w:ascii="Calibri" w:hAnsi="Calibri"/>
          <w:i/>
          <w:color w:val="46505F"/>
          <w:sz w:val="26"/>
        </w:rPr>
        <w:t>A Comprehensive Empirical Study on Train Schedules, Tariff Dynamics, Capacity Utilization, and Predictive Fare Modeling</w:t>
      </w:r>
    </w:p>
    <w:tbl>
      <w:tblPr>
        <w:tblW w:type="auto" w:w="0"/>
        <w:jc w:val="center"/>
        <w:tblLook w:firstColumn="1" w:firstRow="1" w:lastColumn="0" w:lastRow="0" w:noHBand="0" w:noVBand="1" w:val="04A0"/>
      </w:tblPr>
      <w:tblGrid>
        <w:gridCol w:w="4680"/>
        <w:gridCol w:w="4680"/>
      </w:tblGrid>
      <w:tr>
        <w:tc>
          <w:tcPr>
            <w:tcW w:type="dxa" w:w="3168"/>
            <w:shd w:fill="1B365D"/>
            <w:tcMar>
              <w:top w:w="120" w:type="dxa"/>
              <w:bottom w:w="120" w:type="dxa"/>
              <w:left w:w="150" w:type="dxa"/>
              <w:right w:w="150" w:type="dxa"/>
            </w:tcMar>
          </w:tcPr>
          <w:p>
            <w:pPr>
              <w:jc w:val="left"/>
            </w:pPr>
            <w:r>
              <w:rPr>
                <w:rFonts w:ascii="Calibri" w:hAnsi="Calibri"/>
                <w:b/>
                <w:color w:val="FFFFFF"/>
                <w:sz w:val="20"/>
              </w:rPr>
              <w:t>Attribute</w:t>
            </w:r>
          </w:p>
        </w:tc>
        <w:tc>
          <w:tcPr>
            <w:tcW w:type="dxa" w:w="5760"/>
            <w:shd w:fill="1B365D"/>
            <w:tcMar>
              <w:top w:w="120" w:type="dxa"/>
              <w:bottom w:w="120" w:type="dxa"/>
              <w:left w:w="150" w:type="dxa"/>
              <w:right w:w="150" w:type="dxa"/>
            </w:tcMar>
          </w:tcPr>
          <w:p>
            <w:pPr>
              <w:jc w:val="left"/>
            </w:pPr>
            <w:r>
              <w:rPr>
                <w:rFonts w:ascii="Calibri" w:hAnsi="Calibri"/>
                <w:b/>
                <w:color w:val="FFFFFF"/>
                <w:sz w:val="20"/>
              </w:rPr>
              <w:t>Details</w:t>
            </w:r>
          </w:p>
        </w:tc>
      </w:tr>
      <w:tr>
        <w:tc>
          <w:tcPr>
            <w:tcW w:type="dxa" w:w="3168"/>
            <w:shd w:fill="FFFFFF"/>
            <w:tcMar>
              <w:top w:w="80" w:type="dxa"/>
              <w:bottom w:w="80" w:type="dxa"/>
              <w:left w:w="150" w:type="dxa"/>
              <w:right w:w="150" w:type="dxa"/>
            </w:tcMar>
          </w:tcPr>
          <w:p>
            <w:pPr>
              <w:jc w:val="left"/>
            </w:pPr>
            <w:r>
              <w:rPr>
                <w:rFonts w:ascii="Calibri" w:hAnsi="Calibri"/>
                <w:color w:val="282828"/>
                <w:sz w:val="19"/>
              </w:rPr>
              <w:t>Student Name:</w:t>
            </w:r>
          </w:p>
        </w:tc>
        <w:tc>
          <w:tcPr>
            <w:tcW w:type="dxa" w:w="5760"/>
            <w:shd w:fill="FFFFFF"/>
            <w:tcMar>
              <w:top w:w="80" w:type="dxa"/>
              <w:bottom w:w="80" w:type="dxa"/>
              <w:left w:w="150" w:type="dxa"/>
              <w:right w:w="150" w:type="dxa"/>
            </w:tcMar>
          </w:tcPr>
          <w:p>
            <w:pPr>
              <w:jc w:val="left"/>
            </w:pPr>
            <w:r>
              <w:rPr>
                <w:rFonts w:ascii="Calibri" w:hAnsi="Calibri"/>
                <w:color w:val="282828"/>
                <w:sz w:val="19"/>
              </w:rPr>
              <w:t>Rajashri Kalshetti</w:t>
            </w:r>
          </w:p>
        </w:tc>
      </w:tr>
      <w:tr>
        <w:tc>
          <w:tcPr>
            <w:tcW w:type="dxa" w:w="3168"/>
            <w:shd w:fill="F7F9FB"/>
            <w:tcMar>
              <w:top w:w="80" w:type="dxa"/>
              <w:bottom w:w="80" w:type="dxa"/>
              <w:left w:w="150" w:type="dxa"/>
              <w:right w:w="150" w:type="dxa"/>
            </w:tcMar>
          </w:tcPr>
          <w:p>
            <w:pPr>
              <w:jc w:val="left"/>
            </w:pPr>
            <w:r>
              <w:rPr>
                <w:rFonts w:ascii="Calibri" w:hAnsi="Calibri"/>
                <w:color w:val="282828"/>
                <w:sz w:val="19"/>
              </w:rPr>
              <w:t>Project Track:</w:t>
            </w:r>
          </w:p>
        </w:tc>
        <w:tc>
          <w:tcPr>
            <w:tcW w:type="dxa" w:w="5760"/>
            <w:shd w:fill="F7F9FB"/>
            <w:tcMar>
              <w:top w:w="80" w:type="dxa"/>
              <w:bottom w:w="80" w:type="dxa"/>
              <w:left w:w="150" w:type="dxa"/>
              <w:right w:w="150" w:type="dxa"/>
            </w:tcMar>
          </w:tcPr>
          <w:p>
            <w:pPr>
              <w:jc w:val="left"/>
            </w:pPr>
            <w:r>
              <w:rPr>
                <w:rFonts w:ascii="Calibri" w:hAnsi="Calibri"/>
                <w:color w:val="282828"/>
                <w:sz w:val="19"/>
              </w:rPr>
              <w:t>Data Analytics with AI</w:t>
            </w:r>
          </w:p>
        </w:tc>
      </w:tr>
      <w:tr>
        <w:tc>
          <w:tcPr>
            <w:tcW w:type="dxa" w:w="3168"/>
            <w:shd w:fill="FFFFFF"/>
            <w:tcMar>
              <w:top w:w="80" w:type="dxa"/>
              <w:bottom w:w="80" w:type="dxa"/>
              <w:left w:w="150" w:type="dxa"/>
              <w:right w:w="150" w:type="dxa"/>
            </w:tcMar>
          </w:tcPr>
          <w:p>
            <w:pPr>
              <w:jc w:val="left"/>
            </w:pPr>
            <w:r>
              <w:rPr>
                <w:rFonts w:ascii="Calibri" w:hAnsi="Calibri"/>
                <w:color w:val="282828"/>
                <w:sz w:val="19"/>
              </w:rPr>
              <w:t>Internship Platform:</w:t>
            </w:r>
          </w:p>
        </w:tc>
        <w:tc>
          <w:tcPr>
            <w:tcW w:type="dxa" w:w="5760"/>
            <w:shd w:fill="FFFFFF"/>
            <w:tcMar>
              <w:top w:w="80" w:type="dxa"/>
              <w:bottom w:w="80" w:type="dxa"/>
              <w:left w:w="150" w:type="dxa"/>
              <w:right w:w="150" w:type="dxa"/>
            </w:tcMar>
          </w:tcPr>
          <w:p>
            <w:pPr>
              <w:jc w:val="left"/>
            </w:pPr>
            <w:r>
              <w:rPr>
                <w:rFonts w:ascii="Calibri" w:hAnsi="Calibri"/>
                <w:color w:val="282828"/>
                <w:sz w:val="19"/>
              </w:rPr>
              <w:t>IBM SkillsBuild / BharatCares / AICTE</w:t>
            </w:r>
          </w:p>
        </w:tc>
      </w:tr>
      <w:tr>
        <w:tc>
          <w:tcPr>
            <w:tcW w:type="dxa" w:w="3168"/>
            <w:shd w:fill="F7F9FB"/>
            <w:tcMar>
              <w:top w:w="80" w:type="dxa"/>
              <w:bottom w:w="80" w:type="dxa"/>
              <w:left w:w="150" w:type="dxa"/>
              <w:right w:w="150" w:type="dxa"/>
            </w:tcMar>
          </w:tcPr>
          <w:p>
            <w:pPr>
              <w:jc w:val="left"/>
            </w:pPr>
            <w:r>
              <w:rPr>
                <w:rFonts w:ascii="Calibri" w:hAnsi="Calibri"/>
                <w:color w:val="282828"/>
                <w:sz w:val="19"/>
              </w:rPr>
              <w:t>Dataset:</w:t>
            </w:r>
          </w:p>
        </w:tc>
        <w:tc>
          <w:tcPr>
            <w:tcW w:type="dxa" w:w="5760"/>
            <w:shd w:fill="F7F9FB"/>
            <w:tcMar>
              <w:top w:w="80" w:type="dxa"/>
              <w:bottom w:w="80" w:type="dxa"/>
              <w:left w:w="150" w:type="dxa"/>
              <w:right w:w="150" w:type="dxa"/>
            </w:tcMar>
          </w:tcPr>
          <w:p>
            <w:pPr>
              <w:jc w:val="left"/>
            </w:pPr>
            <w:r>
              <w:rPr>
                <w:rFonts w:ascii="Calibri" w:hAnsi="Calibri"/>
                <w:color w:val="282828"/>
                <w:sz w:val="19"/>
              </w:rPr>
              <w:t>Indian Railways Schedule-Prices-Availability (Kaggle)</w:t>
            </w:r>
          </w:p>
        </w:tc>
      </w:tr>
      <w:tr>
        <w:tc>
          <w:tcPr>
            <w:tcW w:type="dxa" w:w="3168"/>
            <w:shd w:fill="FFFFFF"/>
            <w:tcMar>
              <w:top w:w="80" w:type="dxa"/>
              <w:bottom w:w="80" w:type="dxa"/>
              <w:left w:w="150" w:type="dxa"/>
              <w:right w:w="150" w:type="dxa"/>
            </w:tcMar>
          </w:tcPr>
          <w:p>
            <w:pPr>
              <w:jc w:val="left"/>
            </w:pPr>
            <w:r>
              <w:rPr>
                <w:rFonts w:ascii="Calibri" w:hAnsi="Calibri"/>
                <w:color w:val="282828"/>
                <w:sz w:val="19"/>
              </w:rPr>
              <w:t>Core Technologies:</w:t>
            </w:r>
          </w:p>
        </w:tc>
        <w:tc>
          <w:tcPr>
            <w:tcW w:type="dxa" w:w="5760"/>
            <w:shd w:fill="FFFFFF"/>
            <w:tcMar>
              <w:top w:w="80" w:type="dxa"/>
              <w:bottom w:w="80" w:type="dxa"/>
              <w:left w:w="150" w:type="dxa"/>
              <w:right w:w="150" w:type="dxa"/>
            </w:tcMar>
          </w:tcPr>
          <w:p>
            <w:pPr>
              <w:jc w:val="left"/>
            </w:pPr>
            <w:r>
              <w:rPr>
                <w:rFonts w:ascii="Calibri" w:hAnsi="Calibri"/>
                <w:color w:val="282828"/>
                <w:sz w:val="19"/>
              </w:rPr>
              <w:t>Python 3.12, Pandas, NumPy, Scikit-learn, Seaborn</w:t>
            </w:r>
          </w:p>
        </w:tc>
      </w:tr>
      <w:tr>
        <w:tc>
          <w:tcPr>
            <w:tcW w:type="dxa" w:w="3168"/>
            <w:shd w:fill="F7F9FB"/>
            <w:tcMar>
              <w:top w:w="80" w:type="dxa"/>
              <w:bottom w:w="80" w:type="dxa"/>
              <w:left w:w="150" w:type="dxa"/>
              <w:right w:w="150" w:type="dxa"/>
            </w:tcMar>
          </w:tcPr>
          <w:p>
            <w:pPr>
              <w:jc w:val="left"/>
            </w:pPr>
            <w:r>
              <w:rPr>
                <w:rFonts w:ascii="Calibri" w:hAnsi="Calibri"/>
                <w:color w:val="282828"/>
                <w:sz w:val="19"/>
              </w:rPr>
              <w:t>Submission Date:</w:t>
            </w:r>
          </w:p>
        </w:tc>
        <w:tc>
          <w:tcPr>
            <w:tcW w:type="dxa" w:w="5760"/>
            <w:shd w:fill="F7F9FB"/>
            <w:tcMar>
              <w:top w:w="80" w:type="dxa"/>
              <w:bottom w:w="80" w:type="dxa"/>
              <w:left w:w="150" w:type="dxa"/>
              <w:right w:w="150" w:type="dxa"/>
            </w:tcMar>
          </w:tcPr>
          <w:p>
            <w:pPr>
              <w:jc w:val="left"/>
            </w:pPr>
            <w:r>
              <w:rPr>
                <w:rFonts w:ascii="Calibri" w:hAnsi="Calibri"/>
                <w:color w:val="282828"/>
                <w:sz w:val="19"/>
              </w:rPr>
              <w:t>September 2026</w:t>
            </w:r>
          </w:p>
        </w:tc>
      </w:tr>
    </w:tbl>
    <w:p>
      <w:pPr>
        <w:spacing w:after="120"/>
      </w:pPr>
    </w:p>
    <w:p>
      <w:r>
        <w:br w:type="page"/>
      </w:r>
    </w:p>
    <w:p>
      <w:pPr>
        <w:keepNext/>
        <w:spacing w:before="360" w:after="120"/>
      </w:pPr>
      <w:r>
        <w:rPr>
          <w:rFonts w:ascii="Calibri" w:hAnsi="Calibri"/>
          <w:b/>
          <w:color w:val="1B365D"/>
          <w:sz w:val="32"/>
        </w:rPr>
        <w:t>Candidate's Declaration</w:t>
      </w:r>
    </w:p>
    <w:p>
      <w:pPr>
        <w:spacing w:line="276" w:lineRule="auto" w:after="120"/>
      </w:pPr>
      <w:r>
        <w:rPr>
          <w:rFonts w:ascii="Calibri" w:hAnsi="Calibri"/>
          <w:color w:val="282828"/>
          <w:sz w:val="22"/>
        </w:rPr>
        <w:t>I, Rajashri Kalshetti, hereby declare that the project entitled "IRCTC Railway Booking, Fare and Availability Analysis Using Python" submitted to the IBM SkillsBuild Data Analytics with AI Academic Internship Program conducted by BharatCares in association with AICTE, is an authentic record of independent analytical work executed by me under academic supervision.</w:t>
      </w:r>
    </w:p>
    <w:p>
      <w:pPr>
        <w:spacing w:line="276" w:lineRule="auto" w:after="120"/>
      </w:pPr>
      <w:r>
        <w:rPr>
          <w:rFonts w:ascii="Calibri" w:hAnsi="Calibri"/>
          <w:color w:val="282828"/>
          <w:sz w:val="22"/>
        </w:rPr>
        <w:t>The dataset, mathematical models, exploratory charts, and resulting metrics documented within this report have been generated directly from empirical data without fabrication or simulation. Any references to external methodologies and academic resources have been fully acknowledged.</w:t>
      </w:r>
    </w:p>
    <w:p>
      <w:pPr>
        <w:spacing w:before="600"/>
      </w:pPr>
      <w:r>
        <w:rPr>
          <w:b/>
        </w:rPr>
        <w:t>Rajashri Kalshetti</w:t>
        <w:br/>
        <w:t>Data Analytics Intern</w:t>
        <w:br/>
        <w:t>IBM SkillsBuild Academic Internship Program</w:t>
      </w:r>
    </w:p>
    <w:p>
      <w:pPr>
        <w:keepNext/>
        <w:spacing w:before="360" w:after="120"/>
      </w:pPr>
      <w:r>
        <w:rPr>
          <w:rFonts w:ascii="Calibri" w:hAnsi="Calibri"/>
          <w:b/>
          <w:color w:val="1B365D"/>
          <w:sz w:val="32"/>
        </w:rPr>
        <w:t>Internship Certificate Placeholder</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after="0"/>
            </w:pPr>
            <w:r>
              <w:rPr>
                <w:rFonts w:ascii="Calibri" w:hAnsi="Calibri"/>
                <w:b/>
                <w:color w:val="1B365D"/>
                <w:sz w:val="21"/>
              </w:rPr>
              <w:t xml:space="preserve">Verification Note: </w:t>
            </w:r>
            <w:r>
              <w:rPr>
                <w:rFonts w:ascii="Calibri" w:hAnsi="Calibri"/>
                <w:color w:val="282828"/>
                <w:sz w:val="21"/>
              </w:rPr>
              <w:t>This section is reserved for the official Certificate of Completion issued by IBM SkillsBuild, BharatCares, and the All India Council for Technical Education (AICTE) upon successful evaluation of the internship deliverables.</w:t>
            </w:r>
          </w:p>
        </w:tc>
      </w:tr>
    </w:tbl>
    <w:p>
      <w:pPr>
        <w:spacing w:after="80"/>
      </w:pPr>
    </w:p>
    <w:p>
      <w:r>
        <w:br w:type="page"/>
      </w:r>
    </w:p>
    <w:p>
      <w:pPr>
        <w:keepNext/>
        <w:spacing w:before="360" w:after="120"/>
      </w:pPr>
      <w:r>
        <w:rPr>
          <w:rFonts w:ascii="Calibri" w:hAnsi="Calibri"/>
          <w:b/>
          <w:color w:val="1B365D"/>
          <w:sz w:val="32"/>
        </w:rPr>
        <w:t>Acknowledgements</w:t>
      </w:r>
    </w:p>
    <w:p>
      <w:pPr>
        <w:spacing w:line="276" w:lineRule="auto" w:after="120"/>
      </w:pPr>
      <w:r>
        <w:rPr>
          <w:rFonts w:ascii="Calibri" w:hAnsi="Calibri"/>
          <w:color w:val="282828"/>
          <w:sz w:val="22"/>
        </w:rPr>
        <w:t>I would like to express my sincere gratitude to IBM SkillsBuild, BharatCares, and AICTE for creating this immersive Data Analytics with AI Academic Internship Program. The structured curriculum, industry-grade tools, and real-world analytical case studies have significantly enhanced my practical data science, statistical thinking, and machine learning skills.</w:t>
      </w:r>
    </w:p>
    <w:p>
      <w:pPr>
        <w:spacing w:line="276" w:lineRule="auto" w:after="120"/>
      </w:pPr>
      <w:r>
        <w:rPr>
          <w:rFonts w:ascii="Calibri" w:hAnsi="Calibri"/>
          <w:color w:val="282828"/>
          <w:sz w:val="22"/>
        </w:rPr>
        <w:t>I am deeply thankful to the project mentors and academic coordinators for their invaluable guidance, review frameworks, and continuous feedback throughout the internship duration. I also extend my gratitude to Kaggle contributor Bhavyaraj Dev for curating and publishing the Indian Railways Schedule-Prices-Availability dataset, which provided the rich empirical foundation for this study.</w:t>
      </w:r>
    </w:p>
    <w:p>
      <w:pPr>
        <w:keepNext/>
        <w:spacing w:before="360" w:after="120"/>
      </w:pPr>
      <w:r>
        <w:rPr>
          <w:rFonts w:ascii="Calibri" w:hAnsi="Calibri"/>
          <w:b/>
          <w:color w:val="1B365D"/>
          <w:sz w:val="32"/>
        </w:rPr>
        <w:t>Executive Abstract</w:t>
      </w:r>
    </w:p>
    <w:p>
      <w:pPr>
        <w:spacing w:line="276" w:lineRule="auto" w:after="120"/>
      </w:pPr>
      <w:r>
        <w:rPr>
          <w:rFonts w:ascii="Calibri" w:hAnsi="Calibri"/>
          <w:color w:val="282828"/>
          <w:sz w:val="22"/>
        </w:rPr>
        <w:t>Efficient passenger rail management requires balancing capacity allocation, tariff structures, and timetable reliability across millions of daily passengers. This report presents an in-depth data analytics and predictive modeling project evaluating 326,643 individual pricing and booking records alongside 3,292 train schedule itineraries sourced from Indian Railways.</w:t>
      </w:r>
    </w:p>
    <w:p>
      <w:pPr>
        <w:spacing w:line="276" w:lineRule="auto" w:after="120"/>
      </w:pPr>
      <w:r>
        <w:rPr>
          <w:rFonts w:ascii="Calibri" w:hAnsi="Calibri"/>
          <w:color w:val="282828"/>
          <w:sz w:val="22"/>
        </w:rPr>
        <w:t>Through rigorous preprocessing, a critical scraping artifact (negative journey durations caused by midnight wrap-arounds) was identified and mathematically corrected. Feature engineering extracted key operational indicators, including tariff yield (fare per kilometer), travel speed profiles, and standardized seat availability categories.</w:t>
      </w:r>
    </w:p>
    <w:p>
      <w:pPr>
        <w:spacing w:line="276" w:lineRule="auto" w:after="120"/>
      </w:pPr>
      <w:r>
        <w:rPr>
          <w:rFonts w:ascii="Calibri" w:hAnsi="Calibri"/>
          <w:color w:val="282828"/>
          <w:sz w:val="22"/>
        </w:rPr>
        <w:t>Exploratory data analysis revealed significant capacity imbalances: 63.1% (205,951) of booking snapshots were in Waitlist (WL) status, with popular overnight classes (Sleeper and AC 3-Tier) experiencing waitlist rates exceeding 66%. Conversely, daytime seating classes (Second Sitting and Chair Car) exhibited confirmation rates of 78.0% and 68.5%. Base fare accounted for 89.0% of customer ticket costs. Supervised machine learning benchmarked Linear Regression against a Random Forest Regressor for fare prediction, with Random Forest achieving an exceptional R² of 0.9838 and a low Root Mean Squared Error (RMSE) of ₹110.75. These findings provide empirical backing for capacity augmentation on congested trunk lines and targeted dynamic pricing algorithms.</w:t>
      </w:r>
    </w:p>
    <w:p>
      <w:r>
        <w:br w:type="page"/>
      </w:r>
    </w:p>
    <w:p>
      <w:pPr>
        <w:keepNext/>
        <w:spacing w:before="360" w:after="120"/>
      </w:pPr>
      <w:r>
        <w:rPr>
          <w:rFonts w:ascii="Calibri" w:hAnsi="Calibri"/>
          <w:b/>
          <w:color w:val="1B365D"/>
          <w:sz w:val="32"/>
        </w:rPr>
        <w:t>1. Introduction</w:t>
      </w:r>
    </w:p>
    <w:p>
      <w:pPr>
        <w:spacing w:line="276" w:lineRule="auto" w:after="120"/>
      </w:pPr>
      <w:r>
        <w:rPr>
          <w:rFonts w:ascii="Calibri" w:hAnsi="Calibri"/>
          <w:color w:val="282828"/>
          <w:sz w:val="22"/>
        </w:rPr>
        <w:t>Indian Railways represents the fourth-largest national railway system in the world by size, transporting over 20 million passengers and 3 million tonnes of freight daily. Indian Railway Catering and Tourism Corporation (IRCTC) manages the online ticketing, catering, and tourism operations, processing millions of transactions through its passenger reservation system (PRS).</w:t>
      </w:r>
    </w:p>
    <w:p>
      <w:pPr>
        <w:spacing w:line="276" w:lineRule="auto" w:after="120"/>
      </w:pPr>
      <w:r>
        <w:rPr>
          <w:rFonts w:ascii="Calibri" w:hAnsi="Calibri"/>
          <w:color w:val="282828"/>
          <w:sz w:val="22"/>
        </w:rPr>
        <w:t>Understanding the complex interplay between rail network schedules, distance-based tariff structures, surcharge classifications, and class-wise seat availability is crucial for both railway policymakers and passengers. Data analytics empowers railway planners to optimize rolling stock deployment, alleviate corridor congestion, and enhance tariff equity.</w:t>
      </w:r>
    </w:p>
    <w:p>
      <w:pPr>
        <w:keepNext/>
        <w:spacing w:before="360" w:after="120"/>
      </w:pPr>
      <w:r>
        <w:rPr>
          <w:rFonts w:ascii="Calibri" w:hAnsi="Calibri"/>
          <w:b/>
          <w:color w:val="1B365D"/>
          <w:sz w:val="32"/>
        </w:rPr>
        <w:t>2. Problem Statement</w:t>
      </w:r>
    </w:p>
    <w:p>
      <w:pPr>
        <w:spacing w:line="276" w:lineRule="auto" w:after="120"/>
      </w:pPr>
      <w:r>
        <w:rPr>
          <w:rFonts w:ascii="Calibri" w:hAnsi="Calibri"/>
          <w:color w:val="282828"/>
          <w:sz w:val="22"/>
        </w:rPr>
        <w:t>Despite extensive operational infrastructure, Indian Railways faces recurring operational and passenger challenges:</w:t>
      </w:r>
    </w:p>
    <w:p>
      <w:pPr>
        <w:spacing w:line="276" w:lineRule="auto" w:after="120"/>
      </w:pPr>
      <w:r>
        <w:rPr>
          <w:rFonts w:ascii="Calibri" w:hAnsi="Calibri"/>
          <w:color w:val="282828"/>
          <w:sz w:val="22"/>
        </w:rPr>
        <w:t>• Severe Capacity Crises: High-demand trans-regional routes routinely suffer from acute seat shortages, leading to severe waitlisting and passenger regrets.</w:t>
      </w:r>
    </w:p>
    <w:p>
      <w:pPr>
        <w:spacing w:line="276" w:lineRule="auto" w:after="120"/>
      </w:pPr>
      <w:r>
        <w:rPr>
          <w:rFonts w:ascii="Calibri" w:hAnsi="Calibri"/>
          <w:color w:val="282828"/>
          <w:sz w:val="22"/>
        </w:rPr>
        <w:t>• Fare and Yield Disparities: Passengers face complex pricing structures where base fares are compounded by class-specific reservation surcharges, superfast levies, service tax/GST, catering charges, and dynamic pricing surcharges.</w:t>
      </w:r>
    </w:p>
    <w:p>
      <w:pPr>
        <w:spacing w:line="276" w:lineRule="auto" w:after="120"/>
      </w:pPr>
      <w:r>
        <w:rPr>
          <w:rFonts w:ascii="Calibri" w:hAnsi="Calibri"/>
          <w:color w:val="282828"/>
          <w:sz w:val="22"/>
        </w:rPr>
        <w:t>• Route Network Asymmetry: Trunk lines between major metropolitan junctions (e.g., New Delhi, Howrah, Vadodara) experience heavy route concentration, while satellite routes remain under-scheduled.</w:t>
      </w:r>
    </w:p>
    <w:p>
      <w:pPr>
        <w:spacing w:line="276" w:lineRule="auto" w:after="120"/>
      </w:pPr>
      <w:r>
        <w:rPr>
          <w:rFonts w:ascii="Calibri" w:hAnsi="Calibri"/>
          <w:color w:val="282828"/>
          <w:sz w:val="22"/>
        </w:rPr>
        <w:t>This project performs an empirical investigation of real-world Indian Railways data to quantify these operational patterns, evaluate price determinants, and train high-accuracy predictive models.</w:t>
      </w:r>
    </w:p>
    <w:p>
      <w:pPr>
        <w:keepNext/>
        <w:spacing w:before="360" w:after="120"/>
      </w:pPr>
      <w:r>
        <w:rPr>
          <w:rFonts w:ascii="Calibri" w:hAnsi="Calibri"/>
          <w:b/>
          <w:color w:val="1B365D"/>
          <w:sz w:val="32"/>
        </w:rPr>
        <w:t>3. Project Objectives</w:t>
      </w:r>
    </w:p>
    <w:p>
      <w:pPr>
        <w:spacing w:line="276" w:lineRule="auto" w:after="120"/>
      </w:pPr>
      <w:r>
        <w:rPr>
          <w:rFonts w:ascii="Calibri" w:hAnsi="Calibri"/>
          <w:color w:val="282828"/>
          <w:sz w:val="22"/>
        </w:rPr>
        <w:t>The project is structured around seven primary academic and operational objectives:</w:t>
      </w:r>
    </w:p>
    <w:p>
      <w:pPr>
        <w:spacing w:line="276" w:lineRule="auto" w:after="120"/>
      </w:pPr>
      <w:r>
        <w:rPr>
          <w:rFonts w:ascii="Calibri" w:hAnsi="Calibri"/>
          <w:color w:val="282828"/>
          <w:sz w:val="22"/>
        </w:rPr>
        <w:t>1. Structural Dataset Audit: Systematically examine schema attributes, data types, record volumes, and missing values across schedule and pricing files.</w:t>
      </w:r>
    </w:p>
    <w:p>
      <w:pPr>
        <w:spacing w:line="276" w:lineRule="auto" w:after="120"/>
      </w:pPr>
      <w:r>
        <w:rPr>
          <w:rFonts w:ascii="Calibri" w:hAnsi="Calibri"/>
          <w:color w:val="282828"/>
          <w:sz w:val="22"/>
        </w:rPr>
        <w:t>2. Rigorous Data Cleaning: Rectify scraping anomalies such as midnight rollover durations, trim string fields, and integrate relational datasets.</w:t>
      </w:r>
    </w:p>
    <w:p>
      <w:pPr>
        <w:spacing w:line="276" w:lineRule="auto" w:after="120"/>
      </w:pPr>
      <w:r>
        <w:rPr>
          <w:rFonts w:ascii="Calibri" w:hAnsi="Calibri"/>
          <w:color w:val="282828"/>
          <w:sz w:val="22"/>
        </w:rPr>
        <w:t>3. Domain Feature Engineering: Derive key analytical indicators including journey hours, speed in km/h, tariff density (fare per km), weekly service frequencies, and parsed seat availability categories.</w:t>
      </w:r>
    </w:p>
    <w:p>
      <w:pPr>
        <w:spacing w:line="276" w:lineRule="auto" w:after="120"/>
      </w:pPr>
      <w:r>
        <w:rPr>
          <w:rFonts w:ascii="Calibri" w:hAnsi="Calibri"/>
          <w:color w:val="282828"/>
          <w:sz w:val="22"/>
        </w:rPr>
        <w:t>4. Visual Exploratory Data Analysis: Produce publication-quality visualizations capturing fare distributions, route congestion, and class-wise availability pressure.</w:t>
      </w:r>
    </w:p>
    <w:p>
      <w:pPr>
        <w:spacing w:line="276" w:lineRule="auto" w:after="120"/>
      </w:pPr>
      <w:r>
        <w:rPr>
          <w:rFonts w:ascii="Calibri" w:hAnsi="Calibri"/>
          <w:color w:val="282828"/>
          <w:sz w:val="22"/>
        </w:rPr>
        <w:t>5. Operational Fleet &amp; Route Analysis: Quantify network connectivity, station hub density, and service type distributions.</w:t>
      </w:r>
    </w:p>
    <w:p>
      <w:pPr>
        <w:spacing w:line="276" w:lineRule="auto" w:after="120"/>
      </w:pPr>
      <w:r>
        <w:rPr>
          <w:rFonts w:ascii="Calibri" w:hAnsi="Calibri"/>
          <w:color w:val="282828"/>
          <w:sz w:val="22"/>
        </w:rPr>
        <w:t>6. Predictive Machine Learning Modeling: Formulate and benchmark regression models (Linear Regression vs. Random Forest) to predict passenger ticket fares.</w:t>
      </w:r>
    </w:p>
    <w:p>
      <w:pPr>
        <w:spacing w:line="276" w:lineRule="auto" w:after="120"/>
      </w:pPr>
      <w:r>
        <w:rPr>
          <w:rFonts w:ascii="Calibri" w:hAnsi="Calibri"/>
          <w:color w:val="282828"/>
          <w:sz w:val="22"/>
        </w:rPr>
        <w:t>7. Actionable Recommendations: Translate data-driven findings into practical capacity-planning and passenger revenue management strategies.</w:t>
      </w:r>
    </w:p>
    <w:p>
      <w:pPr>
        <w:keepNext/>
        <w:spacing w:before="360" w:after="120"/>
      </w:pPr>
      <w:r>
        <w:rPr>
          <w:rFonts w:ascii="Calibri" w:hAnsi="Calibri"/>
          <w:b/>
          <w:color w:val="1B365D"/>
          <w:sz w:val="32"/>
        </w:rPr>
        <w:t>4. Dataset Description</w:t>
      </w:r>
    </w:p>
    <w:p>
      <w:pPr>
        <w:spacing w:line="276" w:lineRule="auto" w:after="120"/>
      </w:pPr>
      <w:r>
        <w:rPr>
          <w:rFonts w:ascii="Calibri" w:hAnsi="Calibri"/>
          <w:color w:val="282828"/>
          <w:sz w:val="22"/>
        </w:rPr>
        <w:t>The empirical foundation for this study is the open-access Kaggle dataset: "Indian Railways Schedule-Prices-Availability Data" authored by Bhavyaraj Dev.</w:t>
      </w:r>
    </w:p>
    <w:p>
      <w:pPr>
        <w:spacing w:line="276" w:lineRule="auto" w:after="120"/>
      </w:pPr>
      <w:r>
        <w:rPr>
          <w:rFonts w:ascii="Calibri" w:hAnsi="Calibri"/>
          <w:color w:val="282828"/>
          <w:sz w:val="22"/>
        </w:rPr>
        <w:t>The dataset comprises two synchronized relational files:</w:t>
      </w:r>
    </w:p>
    <w:p>
      <w:pPr>
        <w:spacing w:line="276" w:lineRule="auto" w:after="120"/>
      </w:pPr>
      <w:r>
        <w:rPr>
          <w:rFonts w:ascii="Calibri" w:hAnsi="Calibri"/>
          <w:color w:val="282828"/>
          <w:sz w:val="22"/>
        </w:rPr>
        <w:t>• price_data.csv: 326,643 rows and 19 columns, capturing detailed passenger pricing records, breakdown charges, and seat availability status across 533 distinct train services.</w:t>
      </w:r>
    </w:p>
    <w:p>
      <w:pPr>
        <w:spacing w:line="276" w:lineRule="auto" w:after="120"/>
      </w:pPr>
      <w:r>
        <w:rPr>
          <w:rFonts w:ascii="Calibri" w:hAnsi="Calibri"/>
          <w:color w:val="282828"/>
          <w:sz w:val="22"/>
        </w:rPr>
        <w:t>• schedules.csv: 3,292 rows and 13 columns, containing complete timetable metadata, station stop itineraries, and day-of-week operation schedules.</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Pr>
          <w:p>
            <w:pPr>
              <w:jc w:val="left"/>
            </w:pPr>
            <w:r>
              <w:rPr>
                <w:rFonts w:ascii="Calibri" w:hAnsi="Calibri"/>
                <w:b/>
                <w:color w:val="FFFFFF"/>
                <w:sz w:val="20"/>
              </w:rPr>
              <w:t>Column Name</w:t>
            </w:r>
          </w:p>
        </w:tc>
        <w:tc>
          <w:tcPr>
            <w:tcW w:type="dxa" w:w="1440"/>
            <w:shd w:fill="1B365D"/>
            <w:tcMar>
              <w:top w:w="120" w:type="dxa"/>
              <w:bottom w:w="120" w:type="dxa"/>
              <w:left w:w="150" w:type="dxa"/>
              <w:right w:w="150" w:type="dxa"/>
            </w:tcMar>
          </w:tcPr>
          <w:p>
            <w:pPr>
              <w:jc w:val="left"/>
            </w:pPr>
            <w:r>
              <w:rPr>
                <w:rFonts w:ascii="Calibri" w:hAnsi="Calibri"/>
                <w:b/>
                <w:color w:val="FFFFFF"/>
                <w:sz w:val="20"/>
              </w:rPr>
              <w:t>Data Type</w:t>
            </w:r>
          </w:p>
        </w:tc>
        <w:tc>
          <w:tcPr>
            <w:tcW w:type="dxa" w:w="5328"/>
            <w:shd w:fill="1B365D"/>
            <w:tcMar>
              <w:top w:w="120" w:type="dxa"/>
              <w:bottom w:w="120" w:type="dxa"/>
              <w:left w:w="150" w:type="dxa"/>
              <w:right w:w="150" w:type="dxa"/>
            </w:tcMar>
          </w:tcPr>
          <w:p>
            <w:pPr>
              <w:jc w:val="left"/>
            </w:pPr>
            <w:r>
              <w:rPr>
                <w:rFonts w:ascii="Calibri" w:hAnsi="Calibri"/>
                <w:b/>
                <w:color w:val="FFFFFF"/>
                <w:sz w:val="20"/>
              </w:rPr>
              <w:t>Operational Description</w:t>
            </w:r>
          </w:p>
        </w:tc>
      </w:tr>
      <w:tr>
        <w:tc>
          <w:tcPr>
            <w:tcW w:type="dxa" w:w="2160"/>
            <w:shd w:fill="FFFFFF"/>
            <w:tcMar>
              <w:top w:w="80" w:type="dxa"/>
              <w:bottom w:w="80" w:type="dxa"/>
              <w:left w:w="150" w:type="dxa"/>
              <w:right w:w="150" w:type="dxa"/>
            </w:tcMar>
          </w:tcPr>
          <w:p>
            <w:pPr>
              <w:jc w:val="left"/>
            </w:pPr>
            <w:r>
              <w:rPr>
                <w:rFonts w:ascii="Calibri" w:hAnsi="Calibri"/>
                <w:color w:val="282828"/>
                <w:sz w:val="19"/>
              </w:rPr>
              <w:t>trainNumber</w:t>
            </w:r>
          </w:p>
        </w:tc>
        <w:tc>
          <w:tcPr>
            <w:tcW w:type="dxa" w:w="1440"/>
            <w:shd w:fill="FFFFFF"/>
            <w:tcMar>
              <w:top w:w="80" w:type="dxa"/>
              <w:bottom w:w="80" w:type="dxa"/>
              <w:left w:w="150" w:type="dxa"/>
              <w:right w:w="150" w:type="dxa"/>
            </w:tcMar>
          </w:tcPr>
          <w:p>
            <w:pPr>
              <w:jc w:val="left"/>
            </w:pPr>
            <w:r>
              <w:rPr>
                <w:rFonts w:ascii="Calibri" w:hAnsi="Calibri"/>
                <w:color w:val="282828"/>
                <w:sz w:val="19"/>
              </w:rPr>
              <w:t>int64</w:t>
            </w:r>
          </w:p>
        </w:tc>
        <w:tc>
          <w:tcPr>
            <w:tcW w:type="dxa" w:w="5328"/>
            <w:shd w:fill="FFFFFF"/>
            <w:tcMar>
              <w:top w:w="80" w:type="dxa"/>
              <w:bottom w:w="80" w:type="dxa"/>
              <w:left w:w="150" w:type="dxa"/>
              <w:right w:w="150" w:type="dxa"/>
            </w:tcMar>
          </w:tcPr>
          <w:p>
            <w:pPr>
              <w:jc w:val="left"/>
            </w:pPr>
            <w:r>
              <w:rPr>
                <w:rFonts w:ascii="Calibri" w:hAnsi="Calibri"/>
                <w:color w:val="282828"/>
                <w:sz w:val="19"/>
              </w:rPr>
              <w:t>Unique 4 or 5 digit train identifier code</w:t>
            </w:r>
          </w:p>
        </w:tc>
      </w:tr>
      <w:tr>
        <w:tc>
          <w:tcPr>
            <w:tcW w:type="dxa" w:w="2160"/>
            <w:shd w:fill="F7F9FB"/>
            <w:tcMar>
              <w:top w:w="80" w:type="dxa"/>
              <w:bottom w:w="80" w:type="dxa"/>
              <w:left w:w="150" w:type="dxa"/>
              <w:right w:w="150" w:type="dxa"/>
            </w:tcMar>
          </w:tcPr>
          <w:p>
            <w:pPr>
              <w:jc w:val="left"/>
            </w:pPr>
            <w:r>
              <w:rPr>
                <w:rFonts w:ascii="Calibri" w:hAnsi="Calibri"/>
                <w:color w:val="282828"/>
                <w:sz w:val="19"/>
              </w:rPr>
              <w:t>trainName</w:t>
            </w:r>
          </w:p>
        </w:tc>
        <w:tc>
          <w:tcPr>
            <w:tcW w:type="dxa" w:w="1440"/>
            <w:shd w:fill="F7F9FB"/>
            <w:tcMar>
              <w:top w:w="80" w:type="dxa"/>
              <w:bottom w:w="80" w:type="dxa"/>
              <w:left w:w="150" w:type="dxa"/>
              <w:right w:w="150" w:type="dxa"/>
            </w:tcMar>
          </w:tcPr>
          <w:p>
            <w:pPr>
              <w:jc w:val="left"/>
            </w:pPr>
            <w:r>
              <w:rPr>
                <w:rFonts w:ascii="Calibri" w:hAnsi="Calibri"/>
                <w:color w:val="282828"/>
                <w:sz w:val="19"/>
              </w:rPr>
              <w:t>object</w:t>
            </w:r>
          </w:p>
        </w:tc>
        <w:tc>
          <w:tcPr>
            <w:tcW w:type="dxa" w:w="5328"/>
            <w:shd w:fill="F7F9FB"/>
            <w:tcMar>
              <w:top w:w="80" w:type="dxa"/>
              <w:bottom w:w="80" w:type="dxa"/>
              <w:left w:w="150" w:type="dxa"/>
              <w:right w:w="150" w:type="dxa"/>
            </w:tcMar>
          </w:tcPr>
          <w:p>
            <w:pPr>
              <w:jc w:val="left"/>
            </w:pPr>
            <w:r>
              <w:rPr>
                <w:rFonts w:ascii="Calibri" w:hAnsi="Calibri"/>
                <w:color w:val="282828"/>
                <w:sz w:val="19"/>
              </w:rPr>
              <w:t>Official designated train service title</w:t>
            </w:r>
          </w:p>
        </w:tc>
      </w:tr>
      <w:tr>
        <w:tc>
          <w:tcPr>
            <w:tcW w:type="dxa" w:w="2160"/>
            <w:shd w:fill="FFFFFF"/>
            <w:tcMar>
              <w:top w:w="80" w:type="dxa"/>
              <w:bottom w:w="80" w:type="dxa"/>
              <w:left w:w="150" w:type="dxa"/>
              <w:right w:w="150" w:type="dxa"/>
            </w:tcMar>
          </w:tcPr>
          <w:p>
            <w:pPr>
              <w:jc w:val="left"/>
            </w:pPr>
            <w:r>
              <w:rPr>
                <w:rFonts w:ascii="Calibri" w:hAnsi="Calibri"/>
                <w:color w:val="282828"/>
                <w:sz w:val="19"/>
              </w:rPr>
              <w:t>fromStnCode</w:t>
            </w:r>
          </w:p>
        </w:tc>
        <w:tc>
          <w:tcPr>
            <w:tcW w:type="dxa" w:w="1440"/>
            <w:shd w:fill="FFFFFF"/>
            <w:tcMar>
              <w:top w:w="80" w:type="dxa"/>
              <w:bottom w:w="80" w:type="dxa"/>
              <w:left w:w="150" w:type="dxa"/>
              <w:right w:w="150" w:type="dxa"/>
            </w:tcMar>
          </w:tcPr>
          <w:p>
            <w:pPr>
              <w:jc w:val="left"/>
            </w:pPr>
            <w:r>
              <w:rPr>
                <w:rFonts w:ascii="Calibri" w:hAnsi="Calibri"/>
                <w:color w:val="282828"/>
                <w:sz w:val="19"/>
              </w:rPr>
              <w:t>object</w:t>
            </w:r>
          </w:p>
        </w:tc>
        <w:tc>
          <w:tcPr>
            <w:tcW w:type="dxa" w:w="5328"/>
            <w:shd w:fill="FFFFFF"/>
            <w:tcMar>
              <w:top w:w="80" w:type="dxa"/>
              <w:bottom w:w="80" w:type="dxa"/>
              <w:left w:w="150" w:type="dxa"/>
              <w:right w:w="150" w:type="dxa"/>
            </w:tcMar>
          </w:tcPr>
          <w:p>
            <w:pPr>
              <w:jc w:val="left"/>
            </w:pPr>
            <w:r>
              <w:rPr>
                <w:rFonts w:ascii="Calibri" w:hAnsi="Calibri"/>
                <w:color w:val="282828"/>
                <w:sz w:val="19"/>
              </w:rPr>
              <w:t>Departure origin station code</w:t>
            </w:r>
          </w:p>
        </w:tc>
      </w:tr>
      <w:tr>
        <w:tc>
          <w:tcPr>
            <w:tcW w:type="dxa" w:w="2160"/>
            <w:shd w:fill="F7F9FB"/>
            <w:tcMar>
              <w:top w:w="80" w:type="dxa"/>
              <w:bottom w:w="80" w:type="dxa"/>
              <w:left w:w="150" w:type="dxa"/>
              <w:right w:w="150" w:type="dxa"/>
            </w:tcMar>
          </w:tcPr>
          <w:p>
            <w:pPr>
              <w:jc w:val="left"/>
            </w:pPr>
            <w:r>
              <w:rPr>
                <w:rFonts w:ascii="Calibri" w:hAnsi="Calibri"/>
                <w:color w:val="282828"/>
                <w:sz w:val="19"/>
              </w:rPr>
              <w:t>toStnCode</w:t>
            </w:r>
          </w:p>
        </w:tc>
        <w:tc>
          <w:tcPr>
            <w:tcW w:type="dxa" w:w="1440"/>
            <w:shd w:fill="F7F9FB"/>
            <w:tcMar>
              <w:top w:w="80" w:type="dxa"/>
              <w:bottom w:w="80" w:type="dxa"/>
              <w:left w:w="150" w:type="dxa"/>
              <w:right w:w="150" w:type="dxa"/>
            </w:tcMar>
          </w:tcPr>
          <w:p>
            <w:pPr>
              <w:jc w:val="left"/>
            </w:pPr>
            <w:r>
              <w:rPr>
                <w:rFonts w:ascii="Calibri" w:hAnsi="Calibri"/>
                <w:color w:val="282828"/>
                <w:sz w:val="19"/>
              </w:rPr>
              <w:t>object</w:t>
            </w:r>
          </w:p>
        </w:tc>
        <w:tc>
          <w:tcPr>
            <w:tcW w:type="dxa" w:w="5328"/>
            <w:shd w:fill="F7F9FB"/>
            <w:tcMar>
              <w:top w:w="80" w:type="dxa"/>
              <w:bottom w:w="80" w:type="dxa"/>
              <w:left w:w="150" w:type="dxa"/>
              <w:right w:w="150" w:type="dxa"/>
            </w:tcMar>
          </w:tcPr>
          <w:p>
            <w:pPr>
              <w:jc w:val="left"/>
            </w:pPr>
            <w:r>
              <w:rPr>
                <w:rFonts w:ascii="Calibri" w:hAnsi="Calibri"/>
                <w:color w:val="282828"/>
                <w:sz w:val="19"/>
              </w:rPr>
              <w:t>Arrival destination station code</w:t>
            </w:r>
          </w:p>
        </w:tc>
      </w:tr>
      <w:tr>
        <w:tc>
          <w:tcPr>
            <w:tcW w:type="dxa" w:w="2160"/>
            <w:shd w:fill="FFFFFF"/>
            <w:tcMar>
              <w:top w:w="80" w:type="dxa"/>
              <w:bottom w:w="80" w:type="dxa"/>
              <w:left w:w="150" w:type="dxa"/>
              <w:right w:w="150" w:type="dxa"/>
            </w:tcMar>
          </w:tcPr>
          <w:p>
            <w:pPr>
              <w:jc w:val="left"/>
            </w:pPr>
            <w:r>
              <w:rPr>
                <w:rFonts w:ascii="Calibri" w:hAnsi="Calibri"/>
                <w:color w:val="282828"/>
                <w:sz w:val="19"/>
              </w:rPr>
              <w:t>classCode</w:t>
            </w:r>
          </w:p>
        </w:tc>
        <w:tc>
          <w:tcPr>
            <w:tcW w:type="dxa" w:w="1440"/>
            <w:shd w:fill="FFFFFF"/>
            <w:tcMar>
              <w:top w:w="80" w:type="dxa"/>
              <w:bottom w:w="80" w:type="dxa"/>
              <w:left w:w="150" w:type="dxa"/>
              <w:right w:w="150" w:type="dxa"/>
            </w:tcMar>
          </w:tcPr>
          <w:p>
            <w:pPr>
              <w:jc w:val="left"/>
            </w:pPr>
            <w:r>
              <w:rPr>
                <w:rFonts w:ascii="Calibri" w:hAnsi="Calibri"/>
                <w:color w:val="282828"/>
                <w:sz w:val="19"/>
              </w:rPr>
              <w:t>object</w:t>
            </w:r>
          </w:p>
        </w:tc>
        <w:tc>
          <w:tcPr>
            <w:tcW w:type="dxa" w:w="5328"/>
            <w:shd w:fill="FFFFFF"/>
            <w:tcMar>
              <w:top w:w="80" w:type="dxa"/>
              <w:bottom w:w="80" w:type="dxa"/>
              <w:left w:w="150" w:type="dxa"/>
              <w:right w:w="150" w:type="dxa"/>
            </w:tcMar>
          </w:tcPr>
          <w:p>
            <w:pPr>
              <w:jc w:val="left"/>
            </w:pPr>
            <w:r>
              <w:rPr>
                <w:rFonts w:ascii="Calibri" w:hAnsi="Calibri"/>
                <w:color w:val="282828"/>
                <w:sz w:val="19"/>
              </w:rPr>
              <w:t>Travel class (1A, 2A, 3A, SL, CC, 2S)</w:t>
            </w:r>
          </w:p>
        </w:tc>
      </w:tr>
      <w:tr>
        <w:tc>
          <w:tcPr>
            <w:tcW w:type="dxa" w:w="2160"/>
            <w:shd w:fill="F7F9FB"/>
            <w:tcMar>
              <w:top w:w="80" w:type="dxa"/>
              <w:bottom w:w="80" w:type="dxa"/>
              <w:left w:w="150" w:type="dxa"/>
              <w:right w:w="150" w:type="dxa"/>
            </w:tcMar>
          </w:tcPr>
          <w:p>
            <w:pPr>
              <w:jc w:val="left"/>
            </w:pPr>
            <w:r>
              <w:rPr>
                <w:rFonts w:ascii="Calibri" w:hAnsi="Calibri"/>
                <w:color w:val="282828"/>
                <w:sz w:val="19"/>
              </w:rPr>
              <w:t>distance</w:t>
            </w:r>
          </w:p>
        </w:tc>
        <w:tc>
          <w:tcPr>
            <w:tcW w:type="dxa" w:w="1440"/>
            <w:shd w:fill="F7F9FB"/>
            <w:tcMar>
              <w:top w:w="80" w:type="dxa"/>
              <w:bottom w:w="80" w:type="dxa"/>
              <w:left w:w="150" w:type="dxa"/>
              <w:right w:w="150" w:type="dxa"/>
            </w:tcMar>
          </w:tcPr>
          <w:p>
            <w:pPr>
              <w:jc w:val="left"/>
            </w:pPr>
            <w:r>
              <w:rPr>
                <w:rFonts w:ascii="Calibri" w:hAnsi="Calibri"/>
                <w:color w:val="282828"/>
                <w:sz w:val="19"/>
              </w:rPr>
              <w:t>int64</w:t>
            </w:r>
          </w:p>
        </w:tc>
        <w:tc>
          <w:tcPr>
            <w:tcW w:type="dxa" w:w="5328"/>
            <w:shd w:fill="F7F9FB"/>
            <w:tcMar>
              <w:top w:w="80" w:type="dxa"/>
              <w:bottom w:w="80" w:type="dxa"/>
              <w:left w:w="150" w:type="dxa"/>
              <w:right w:w="150" w:type="dxa"/>
            </w:tcMar>
          </w:tcPr>
          <w:p>
            <w:pPr>
              <w:jc w:val="left"/>
            </w:pPr>
            <w:r>
              <w:rPr>
                <w:rFonts w:ascii="Calibri" w:hAnsi="Calibri"/>
                <w:color w:val="282828"/>
                <w:sz w:val="19"/>
              </w:rPr>
              <w:t>Rail travel distance in kilometers</w:t>
            </w:r>
          </w:p>
        </w:tc>
      </w:tr>
      <w:tr>
        <w:tc>
          <w:tcPr>
            <w:tcW w:type="dxa" w:w="2160"/>
            <w:shd w:fill="FFFFFF"/>
            <w:tcMar>
              <w:top w:w="80" w:type="dxa"/>
              <w:bottom w:w="80" w:type="dxa"/>
              <w:left w:w="150" w:type="dxa"/>
              <w:right w:w="150" w:type="dxa"/>
            </w:tcMar>
          </w:tcPr>
          <w:p>
            <w:pPr>
              <w:jc w:val="left"/>
            </w:pPr>
            <w:r>
              <w:rPr>
                <w:rFonts w:ascii="Calibri" w:hAnsi="Calibri"/>
                <w:color w:val="282828"/>
                <w:sz w:val="19"/>
              </w:rPr>
              <w:t>duration</w:t>
            </w:r>
          </w:p>
        </w:tc>
        <w:tc>
          <w:tcPr>
            <w:tcW w:type="dxa" w:w="1440"/>
            <w:shd w:fill="FFFFFF"/>
            <w:tcMar>
              <w:top w:w="80" w:type="dxa"/>
              <w:bottom w:w="80" w:type="dxa"/>
              <w:left w:w="150" w:type="dxa"/>
              <w:right w:w="150" w:type="dxa"/>
            </w:tcMar>
          </w:tcPr>
          <w:p>
            <w:pPr>
              <w:jc w:val="left"/>
            </w:pPr>
            <w:r>
              <w:rPr>
                <w:rFonts w:ascii="Calibri" w:hAnsi="Calibri"/>
                <w:color w:val="282828"/>
                <w:sz w:val="19"/>
              </w:rPr>
              <w:t>float64</w:t>
            </w:r>
          </w:p>
        </w:tc>
        <w:tc>
          <w:tcPr>
            <w:tcW w:type="dxa" w:w="5328"/>
            <w:shd w:fill="FFFFFF"/>
            <w:tcMar>
              <w:top w:w="80" w:type="dxa"/>
              <w:bottom w:w="80" w:type="dxa"/>
              <w:left w:w="150" w:type="dxa"/>
              <w:right w:w="150" w:type="dxa"/>
            </w:tcMar>
          </w:tcPr>
          <w:p>
            <w:pPr>
              <w:jc w:val="left"/>
            </w:pPr>
            <w:r>
              <w:rPr>
                <w:rFonts w:ascii="Calibri" w:hAnsi="Calibri"/>
                <w:color w:val="282828"/>
                <w:sz w:val="19"/>
              </w:rPr>
              <w:t>Scheduled travel duration in minutes</w:t>
            </w:r>
          </w:p>
        </w:tc>
      </w:tr>
      <w:tr>
        <w:tc>
          <w:tcPr>
            <w:tcW w:type="dxa" w:w="2160"/>
            <w:shd w:fill="F7F9FB"/>
            <w:tcMar>
              <w:top w:w="80" w:type="dxa"/>
              <w:bottom w:w="80" w:type="dxa"/>
              <w:left w:w="150" w:type="dxa"/>
              <w:right w:w="150" w:type="dxa"/>
            </w:tcMar>
          </w:tcPr>
          <w:p>
            <w:pPr>
              <w:jc w:val="left"/>
            </w:pPr>
            <w:r>
              <w:rPr>
                <w:rFonts w:ascii="Calibri" w:hAnsi="Calibri"/>
                <w:color w:val="282828"/>
                <w:sz w:val="19"/>
              </w:rPr>
              <w:t>baseFare</w:t>
            </w:r>
          </w:p>
        </w:tc>
        <w:tc>
          <w:tcPr>
            <w:tcW w:type="dxa" w:w="1440"/>
            <w:shd w:fill="F7F9FB"/>
            <w:tcMar>
              <w:top w:w="80" w:type="dxa"/>
              <w:bottom w:w="80" w:type="dxa"/>
              <w:left w:w="150" w:type="dxa"/>
              <w:right w:w="150" w:type="dxa"/>
            </w:tcMar>
          </w:tcPr>
          <w:p>
            <w:pPr>
              <w:jc w:val="left"/>
            </w:pPr>
            <w:r>
              <w:rPr>
                <w:rFonts w:ascii="Calibri" w:hAnsi="Calibri"/>
                <w:color w:val="282828"/>
                <w:sz w:val="19"/>
              </w:rPr>
              <w:t>int64</w:t>
            </w:r>
          </w:p>
        </w:tc>
        <w:tc>
          <w:tcPr>
            <w:tcW w:type="dxa" w:w="5328"/>
            <w:shd w:fill="F7F9FB"/>
            <w:tcMar>
              <w:top w:w="80" w:type="dxa"/>
              <w:bottom w:w="80" w:type="dxa"/>
              <w:left w:w="150" w:type="dxa"/>
              <w:right w:w="150" w:type="dxa"/>
            </w:tcMar>
          </w:tcPr>
          <w:p>
            <w:pPr>
              <w:jc w:val="left"/>
            </w:pPr>
            <w:r>
              <w:rPr>
                <w:rFonts w:ascii="Calibri" w:hAnsi="Calibri"/>
                <w:color w:val="282828"/>
                <w:sz w:val="19"/>
              </w:rPr>
              <w:t>Fundamental distance tariff fare (INR ₹)</w:t>
            </w:r>
          </w:p>
        </w:tc>
      </w:tr>
      <w:tr>
        <w:tc>
          <w:tcPr>
            <w:tcW w:type="dxa" w:w="2160"/>
            <w:shd w:fill="FFFFFF"/>
            <w:tcMar>
              <w:top w:w="80" w:type="dxa"/>
              <w:bottom w:w="80" w:type="dxa"/>
              <w:left w:w="150" w:type="dxa"/>
              <w:right w:w="150" w:type="dxa"/>
            </w:tcMar>
          </w:tcPr>
          <w:p>
            <w:pPr>
              <w:jc w:val="left"/>
            </w:pPr>
            <w:r>
              <w:rPr>
                <w:rFonts w:ascii="Calibri" w:hAnsi="Calibri"/>
                <w:color w:val="282828"/>
                <w:sz w:val="19"/>
              </w:rPr>
              <w:t>reservationCharge</w:t>
            </w:r>
          </w:p>
        </w:tc>
        <w:tc>
          <w:tcPr>
            <w:tcW w:type="dxa" w:w="1440"/>
            <w:shd w:fill="FFFFFF"/>
            <w:tcMar>
              <w:top w:w="80" w:type="dxa"/>
              <w:bottom w:w="80" w:type="dxa"/>
              <w:left w:w="150" w:type="dxa"/>
              <w:right w:w="150" w:type="dxa"/>
            </w:tcMar>
          </w:tcPr>
          <w:p>
            <w:pPr>
              <w:jc w:val="left"/>
            </w:pPr>
            <w:r>
              <w:rPr>
                <w:rFonts w:ascii="Calibri" w:hAnsi="Calibri"/>
                <w:color w:val="282828"/>
                <w:sz w:val="19"/>
              </w:rPr>
              <w:t>int64</w:t>
            </w:r>
          </w:p>
        </w:tc>
        <w:tc>
          <w:tcPr>
            <w:tcW w:type="dxa" w:w="5328"/>
            <w:shd w:fill="FFFFFF"/>
            <w:tcMar>
              <w:top w:w="80" w:type="dxa"/>
              <w:bottom w:w="80" w:type="dxa"/>
              <w:left w:w="150" w:type="dxa"/>
              <w:right w:w="150" w:type="dxa"/>
            </w:tcMar>
          </w:tcPr>
          <w:p>
            <w:pPr>
              <w:jc w:val="left"/>
            </w:pPr>
            <w:r>
              <w:rPr>
                <w:rFonts w:ascii="Calibri" w:hAnsi="Calibri"/>
                <w:color w:val="282828"/>
                <w:sz w:val="19"/>
              </w:rPr>
              <w:t>Class-specific reservation fee (INR ₹)</w:t>
            </w:r>
          </w:p>
        </w:tc>
      </w:tr>
      <w:tr>
        <w:tc>
          <w:tcPr>
            <w:tcW w:type="dxa" w:w="2160"/>
            <w:shd w:fill="F7F9FB"/>
            <w:tcMar>
              <w:top w:w="80" w:type="dxa"/>
              <w:bottom w:w="80" w:type="dxa"/>
              <w:left w:w="150" w:type="dxa"/>
              <w:right w:w="150" w:type="dxa"/>
            </w:tcMar>
          </w:tcPr>
          <w:p>
            <w:pPr>
              <w:jc w:val="left"/>
            </w:pPr>
            <w:r>
              <w:rPr>
                <w:rFonts w:ascii="Calibri" w:hAnsi="Calibri"/>
                <w:color w:val="282828"/>
                <w:sz w:val="19"/>
              </w:rPr>
              <w:t>superfastCharge</w:t>
            </w:r>
          </w:p>
        </w:tc>
        <w:tc>
          <w:tcPr>
            <w:tcW w:type="dxa" w:w="1440"/>
            <w:shd w:fill="F7F9FB"/>
            <w:tcMar>
              <w:top w:w="80" w:type="dxa"/>
              <w:bottom w:w="80" w:type="dxa"/>
              <w:left w:w="150" w:type="dxa"/>
              <w:right w:w="150" w:type="dxa"/>
            </w:tcMar>
          </w:tcPr>
          <w:p>
            <w:pPr>
              <w:jc w:val="left"/>
            </w:pPr>
            <w:r>
              <w:rPr>
                <w:rFonts w:ascii="Calibri" w:hAnsi="Calibri"/>
                <w:color w:val="282828"/>
                <w:sz w:val="19"/>
              </w:rPr>
              <w:t>int64</w:t>
            </w:r>
          </w:p>
        </w:tc>
        <w:tc>
          <w:tcPr>
            <w:tcW w:type="dxa" w:w="5328"/>
            <w:shd w:fill="F7F9FB"/>
            <w:tcMar>
              <w:top w:w="80" w:type="dxa"/>
              <w:bottom w:w="80" w:type="dxa"/>
              <w:left w:w="150" w:type="dxa"/>
              <w:right w:w="150" w:type="dxa"/>
            </w:tcMar>
          </w:tcPr>
          <w:p>
            <w:pPr>
              <w:jc w:val="left"/>
            </w:pPr>
            <w:r>
              <w:rPr>
                <w:rFonts w:ascii="Calibri" w:hAnsi="Calibri"/>
                <w:color w:val="282828"/>
                <w:sz w:val="19"/>
              </w:rPr>
              <w:t>Superfast service surcharge (INR ₹)</w:t>
            </w:r>
          </w:p>
        </w:tc>
      </w:tr>
      <w:tr>
        <w:tc>
          <w:tcPr>
            <w:tcW w:type="dxa" w:w="2160"/>
            <w:shd w:fill="FFFFFF"/>
            <w:tcMar>
              <w:top w:w="80" w:type="dxa"/>
              <w:bottom w:w="80" w:type="dxa"/>
              <w:left w:w="150" w:type="dxa"/>
              <w:right w:w="150" w:type="dxa"/>
            </w:tcMar>
          </w:tcPr>
          <w:p>
            <w:pPr>
              <w:jc w:val="left"/>
            </w:pPr>
            <w:r>
              <w:rPr>
                <w:rFonts w:ascii="Calibri" w:hAnsi="Calibri"/>
                <w:color w:val="282828"/>
                <w:sz w:val="19"/>
              </w:rPr>
              <w:t>serviceTax</w:t>
            </w:r>
          </w:p>
        </w:tc>
        <w:tc>
          <w:tcPr>
            <w:tcW w:type="dxa" w:w="1440"/>
            <w:shd w:fill="FFFFFF"/>
            <w:tcMar>
              <w:top w:w="80" w:type="dxa"/>
              <w:bottom w:w="80" w:type="dxa"/>
              <w:left w:w="150" w:type="dxa"/>
              <w:right w:w="150" w:type="dxa"/>
            </w:tcMar>
          </w:tcPr>
          <w:p>
            <w:pPr>
              <w:jc w:val="left"/>
            </w:pPr>
            <w:r>
              <w:rPr>
                <w:rFonts w:ascii="Calibri" w:hAnsi="Calibri"/>
                <w:color w:val="282828"/>
                <w:sz w:val="19"/>
              </w:rPr>
              <w:t>float64</w:t>
            </w:r>
          </w:p>
        </w:tc>
        <w:tc>
          <w:tcPr>
            <w:tcW w:type="dxa" w:w="5328"/>
            <w:shd w:fill="FFFFFF"/>
            <w:tcMar>
              <w:top w:w="80" w:type="dxa"/>
              <w:bottom w:w="80" w:type="dxa"/>
              <w:left w:w="150" w:type="dxa"/>
              <w:right w:w="150" w:type="dxa"/>
            </w:tcMar>
          </w:tcPr>
          <w:p>
            <w:pPr>
              <w:jc w:val="left"/>
            </w:pPr>
            <w:r>
              <w:rPr>
                <w:rFonts w:ascii="Calibri" w:hAnsi="Calibri"/>
                <w:color w:val="282828"/>
                <w:sz w:val="19"/>
              </w:rPr>
              <w:t>GST / service tax on AC classes (INR ₹)</w:t>
            </w:r>
          </w:p>
        </w:tc>
      </w:tr>
      <w:tr>
        <w:tc>
          <w:tcPr>
            <w:tcW w:type="dxa" w:w="2160"/>
            <w:shd w:fill="F7F9FB"/>
            <w:tcMar>
              <w:top w:w="80" w:type="dxa"/>
              <w:bottom w:w="80" w:type="dxa"/>
              <w:left w:w="150" w:type="dxa"/>
              <w:right w:w="150" w:type="dxa"/>
            </w:tcMar>
          </w:tcPr>
          <w:p>
            <w:pPr>
              <w:jc w:val="left"/>
            </w:pPr>
            <w:r>
              <w:rPr>
                <w:rFonts w:ascii="Calibri" w:hAnsi="Calibri"/>
                <w:color w:val="282828"/>
                <w:sz w:val="19"/>
              </w:rPr>
              <w:t>dynamicFare</w:t>
            </w:r>
          </w:p>
        </w:tc>
        <w:tc>
          <w:tcPr>
            <w:tcW w:type="dxa" w:w="1440"/>
            <w:shd w:fill="F7F9FB"/>
            <w:tcMar>
              <w:top w:w="80" w:type="dxa"/>
              <w:bottom w:w="80" w:type="dxa"/>
              <w:left w:w="150" w:type="dxa"/>
              <w:right w:w="150" w:type="dxa"/>
            </w:tcMar>
          </w:tcPr>
          <w:p>
            <w:pPr>
              <w:jc w:val="left"/>
            </w:pPr>
            <w:r>
              <w:rPr>
                <w:rFonts w:ascii="Calibri" w:hAnsi="Calibri"/>
                <w:color w:val="282828"/>
                <w:sz w:val="19"/>
              </w:rPr>
              <w:t>int64</w:t>
            </w:r>
          </w:p>
        </w:tc>
        <w:tc>
          <w:tcPr>
            <w:tcW w:type="dxa" w:w="5328"/>
            <w:shd w:fill="F7F9FB"/>
            <w:tcMar>
              <w:top w:w="80" w:type="dxa"/>
              <w:bottom w:w="80" w:type="dxa"/>
              <w:left w:w="150" w:type="dxa"/>
              <w:right w:w="150" w:type="dxa"/>
            </w:tcMar>
          </w:tcPr>
          <w:p>
            <w:pPr>
              <w:jc w:val="left"/>
            </w:pPr>
            <w:r>
              <w:rPr>
                <w:rFonts w:ascii="Calibri" w:hAnsi="Calibri"/>
                <w:color w:val="282828"/>
                <w:sz w:val="19"/>
              </w:rPr>
              <w:t>Flexi-fare / surge pricing increment (INR ₹)</w:t>
            </w:r>
          </w:p>
        </w:tc>
      </w:tr>
      <w:tr>
        <w:tc>
          <w:tcPr>
            <w:tcW w:type="dxa" w:w="2160"/>
            <w:shd w:fill="FFFFFF"/>
            <w:tcMar>
              <w:top w:w="80" w:type="dxa"/>
              <w:bottom w:w="80" w:type="dxa"/>
              <w:left w:w="150" w:type="dxa"/>
              <w:right w:w="150" w:type="dxa"/>
            </w:tcMar>
          </w:tcPr>
          <w:p>
            <w:pPr>
              <w:jc w:val="left"/>
            </w:pPr>
            <w:r>
              <w:rPr>
                <w:rFonts w:ascii="Calibri" w:hAnsi="Calibri"/>
                <w:color w:val="282828"/>
                <w:sz w:val="19"/>
              </w:rPr>
              <w:t>totalFare</w:t>
            </w:r>
          </w:p>
        </w:tc>
        <w:tc>
          <w:tcPr>
            <w:tcW w:type="dxa" w:w="1440"/>
            <w:shd w:fill="FFFFFF"/>
            <w:tcMar>
              <w:top w:w="80" w:type="dxa"/>
              <w:bottom w:w="80" w:type="dxa"/>
              <w:left w:w="150" w:type="dxa"/>
              <w:right w:w="150" w:type="dxa"/>
            </w:tcMar>
          </w:tcPr>
          <w:p>
            <w:pPr>
              <w:jc w:val="left"/>
            </w:pPr>
            <w:r>
              <w:rPr>
                <w:rFonts w:ascii="Calibri" w:hAnsi="Calibri"/>
                <w:color w:val="282828"/>
                <w:sz w:val="19"/>
              </w:rPr>
              <w:t>int64</w:t>
            </w:r>
          </w:p>
        </w:tc>
        <w:tc>
          <w:tcPr>
            <w:tcW w:type="dxa" w:w="5328"/>
            <w:shd w:fill="FFFFFF"/>
            <w:tcMar>
              <w:top w:w="80" w:type="dxa"/>
              <w:bottom w:w="80" w:type="dxa"/>
              <w:left w:w="150" w:type="dxa"/>
              <w:right w:w="150" w:type="dxa"/>
            </w:tcMar>
          </w:tcPr>
          <w:p>
            <w:pPr>
              <w:jc w:val="left"/>
            </w:pPr>
            <w:r>
              <w:rPr>
                <w:rFonts w:ascii="Calibri" w:hAnsi="Calibri"/>
                <w:color w:val="282828"/>
                <w:sz w:val="19"/>
              </w:rPr>
              <w:t>Total payable ticket price (INR ₹)</w:t>
            </w:r>
          </w:p>
        </w:tc>
      </w:tr>
      <w:tr>
        <w:tc>
          <w:tcPr>
            <w:tcW w:type="dxa" w:w="2160"/>
            <w:shd w:fill="F7F9FB"/>
            <w:tcMar>
              <w:top w:w="80" w:type="dxa"/>
              <w:bottom w:w="80" w:type="dxa"/>
              <w:left w:w="150" w:type="dxa"/>
              <w:right w:w="150" w:type="dxa"/>
            </w:tcMar>
          </w:tcPr>
          <w:p>
            <w:pPr>
              <w:jc w:val="left"/>
            </w:pPr>
            <w:r>
              <w:rPr>
                <w:rFonts w:ascii="Calibri" w:hAnsi="Calibri"/>
                <w:color w:val="282828"/>
                <w:sz w:val="19"/>
              </w:rPr>
              <w:t>availability</w:t>
            </w:r>
          </w:p>
        </w:tc>
        <w:tc>
          <w:tcPr>
            <w:tcW w:type="dxa" w:w="1440"/>
            <w:shd w:fill="F7F9FB"/>
            <w:tcMar>
              <w:top w:w="80" w:type="dxa"/>
              <w:bottom w:w="80" w:type="dxa"/>
              <w:left w:w="150" w:type="dxa"/>
              <w:right w:w="150" w:type="dxa"/>
            </w:tcMar>
          </w:tcPr>
          <w:p>
            <w:pPr>
              <w:jc w:val="left"/>
            </w:pPr>
            <w:r>
              <w:rPr>
                <w:rFonts w:ascii="Calibri" w:hAnsi="Calibri"/>
                <w:color w:val="282828"/>
                <w:sz w:val="19"/>
              </w:rPr>
              <w:t>object</w:t>
            </w:r>
          </w:p>
        </w:tc>
        <w:tc>
          <w:tcPr>
            <w:tcW w:type="dxa" w:w="5328"/>
            <w:shd w:fill="F7F9FB"/>
            <w:tcMar>
              <w:top w:w="80" w:type="dxa"/>
              <w:bottom w:w="80" w:type="dxa"/>
              <w:left w:w="150" w:type="dxa"/>
              <w:right w:w="150" w:type="dxa"/>
            </w:tcMar>
          </w:tcPr>
          <w:p>
            <w:pPr>
              <w:jc w:val="left"/>
            </w:pPr>
            <w:r>
              <w:rPr>
                <w:rFonts w:ascii="Calibri" w:hAnsi="Calibri"/>
                <w:color w:val="282828"/>
                <w:sz w:val="19"/>
              </w:rPr>
              <w:t>JSON-like string of dated seat availability statuses</w:t>
            </w:r>
          </w:p>
        </w:tc>
      </w:tr>
    </w:tbl>
    <w:p>
      <w:pPr>
        <w:spacing w:after="120"/>
      </w:pPr>
    </w:p>
    <w:p>
      <w:pPr>
        <w:keepNext/>
        <w:spacing w:before="360" w:after="120"/>
      </w:pPr>
      <w:r>
        <w:rPr>
          <w:rFonts w:ascii="Calibri" w:hAnsi="Calibri"/>
          <w:b/>
          <w:color w:val="1B365D"/>
          <w:sz w:val="32"/>
        </w:rPr>
        <w:t>5. Technologies Used &amp; Project Workflow</w:t>
      </w:r>
    </w:p>
    <w:p>
      <w:pPr>
        <w:spacing w:line="276" w:lineRule="auto" w:after="120"/>
      </w:pPr>
      <w:r>
        <w:rPr>
          <w:rFonts w:ascii="Calibri" w:hAnsi="Calibri"/>
          <w:color w:val="282828"/>
          <w:sz w:val="22"/>
        </w:rPr>
        <w:t>The project was implemented using the Python Data Science and Machine Learning ecosystem:</w:t>
      </w:r>
    </w:p>
    <w:p>
      <w:pPr>
        <w:spacing w:line="276" w:lineRule="auto" w:after="120"/>
      </w:pPr>
      <w:r>
        <w:rPr>
          <w:rFonts w:ascii="Calibri" w:hAnsi="Calibri"/>
          <w:color w:val="282828"/>
          <w:sz w:val="22"/>
        </w:rPr>
        <w:t>• Python 3.12: Core programming and execution runtime.</w:t>
      </w:r>
    </w:p>
    <w:p>
      <w:pPr>
        <w:spacing w:line="276" w:lineRule="auto" w:after="120"/>
      </w:pPr>
      <w:r>
        <w:rPr>
          <w:rFonts w:ascii="Calibri" w:hAnsi="Calibri"/>
          <w:color w:val="282828"/>
          <w:sz w:val="22"/>
        </w:rPr>
        <w:t>• Pandas (v3.0.2): High-performance tabular data wrangling, aggregation, and merging.</w:t>
      </w:r>
    </w:p>
    <w:p>
      <w:pPr>
        <w:spacing w:line="276" w:lineRule="auto" w:after="120"/>
      </w:pPr>
      <w:r>
        <w:rPr>
          <w:rFonts w:ascii="Calibri" w:hAnsi="Calibri"/>
          <w:color w:val="282828"/>
          <w:sz w:val="22"/>
        </w:rPr>
        <w:t>• NumPy (v2.4.4): Multi-dimensional vectorized calculations and numerical condition evaluation.</w:t>
      </w:r>
    </w:p>
    <w:p>
      <w:pPr>
        <w:spacing w:line="276" w:lineRule="auto" w:after="120"/>
      </w:pPr>
      <w:r>
        <w:rPr>
          <w:rFonts w:ascii="Calibri" w:hAnsi="Calibri"/>
          <w:color w:val="282828"/>
          <w:sz w:val="22"/>
        </w:rPr>
        <w:t>• Matplotlib (v3.10.8) &amp; Seaborn (v0.13.2): Publication-grade statistical visualization and styling.</w:t>
      </w:r>
    </w:p>
    <w:p>
      <w:pPr>
        <w:spacing w:line="276" w:lineRule="auto" w:after="120"/>
      </w:pPr>
      <w:r>
        <w:rPr>
          <w:rFonts w:ascii="Calibri" w:hAnsi="Calibri"/>
          <w:color w:val="282828"/>
          <w:sz w:val="22"/>
        </w:rPr>
        <w:t>• Scikit-learn (v1.8.0): Machine learning model training, cross-validation split, and regression evaluation.</w:t>
      </w:r>
    </w:p>
    <w:p>
      <w:pPr>
        <w:spacing w:line="276" w:lineRule="auto" w:after="120"/>
      </w:pPr>
      <w:r>
        <w:rPr>
          <w:rFonts w:ascii="Calibri" w:hAnsi="Calibri"/>
          <w:color w:val="282828"/>
          <w:sz w:val="22"/>
        </w:rPr>
        <w:t>• Python-docx (v1.2.0): Automated generation of formatted academic project reports.</w:t>
      </w:r>
    </w:p>
    <w:p>
      <w:pPr>
        <w:keepNext/>
        <w:spacing w:before="240" w:after="80"/>
      </w:pPr>
      <w:r>
        <w:rPr>
          <w:rFonts w:ascii="Calibri" w:hAnsi="Calibri"/>
          <w:b/>
          <w:color w:val="46505F"/>
          <w:sz w:val="26"/>
        </w:rPr>
        <w:t>Project Workflow Pipeline</w:t>
      </w:r>
    </w:p>
    <w:tbl>
      <w:tblPr>
        <w:tblW w:type="auto" w:w="0"/>
        <w:jc w:val="center"/>
        <w:tblLook w:firstColumn="1" w:firstRow="1" w:lastColumn="0" w:lastRow="0" w:noHBand="0" w:noVBand="1" w:val="04A0"/>
      </w:tblPr>
      <w:tblGrid>
        <w:gridCol w:w="4680"/>
        <w:gridCol w:w="4680"/>
      </w:tblGrid>
      <w:tr>
        <w:tc>
          <w:tcPr>
            <w:tcW w:type="dxa" w:w="2592"/>
            <w:shd w:fill="1B365D"/>
            <w:tcMar>
              <w:top w:w="120" w:type="dxa"/>
              <w:bottom w:w="120" w:type="dxa"/>
              <w:left w:w="150" w:type="dxa"/>
              <w:right w:w="150" w:type="dxa"/>
            </w:tcMar>
          </w:tcPr>
          <w:p>
            <w:pPr>
              <w:jc w:val="left"/>
            </w:pPr>
            <w:r>
              <w:rPr>
                <w:rFonts w:ascii="Calibri" w:hAnsi="Calibri"/>
                <w:b/>
                <w:color w:val="FFFFFF"/>
                <w:sz w:val="20"/>
              </w:rPr>
              <w:t>Stage</w:t>
            </w:r>
          </w:p>
        </w:tc>
        <w:tc>
          <w:tcPr>
            <w:tcW w:type="dxa" w:w="6336"/>
            <w:shd w:fill="1B365D"/>
            <w:tcMar>
              <w:top w:w="120" w:type="dxa"/>
              <w:bottom w:w="120" w:type="dxa"/>
              <w:left w:w="150" w:type="dxa"/>
              <w:right w:w="150" w:type="dxa"/>
            </w:tcMar>
          </w:tcPr>
          <w:p>
            <w:pPr>
              <w:jc w:val="left"/>
            </w:pPr>
            <w:r>
              <w:rPr>
                <w:rFonts w:ascii="Calibri" w:hAnsi="Calibri"/>
                <w:b/>
                <w:color w:val="FFFFFF"/>
                <w:sz w:val="20"/>
              </w:rPr>
              <w:t>Description</w:t>
            </w:r>
          </w:p>
        </w:tc>
      </w:tr>
      <w:tr>
        <w:tc>
          <w:tcPr>
            <w:tcW w:type="dxa" w:w="2592"/>
            <w:shd w:fill="FFFFFF"/>
            <w:tcMar>
              <w:top w:w="80" w:type="dxa"/>
              <w:bottom w:w="80" w:type="dxa"/>
              <w:left w:w="150" w:type="dxa"/>
              <w:right w:w="150" w:type="dxa"/>
            </w:tcMar>
          </w:tcPr>
          <w:p>
            <w:pPr>
              <w:jc w:val="left"/>
            </w:pPr>
            <w:r>
              <w:rPr>
                <w:rFonts w:ascii="Calibri" w:hAnsi="Calibri"/>
                <w:color w:val="282828"/>
                <w:sz w:val="19"/>
              </w:rPr>
              <w:t>1. Data Ingestion</w:t>
            </w:r>
          </w:p>
        </w:tc>
        <w:tc>
          <w:tcPr>
            <w:tcW w:type="dxa" w:w="6336"/>
            <w:shd w:fill="FFFFFF"/>
            <w:tcMar>
              <w:top w:w="80" w:type="dxa"/>
              <w:bottom w:w="80" w:type="dxa"/>
              <w:left w:w="150" w:type="dxa"/>
              <w:right w:w="150" w:type="dxa"/>
            </w:tcMar>
          </w:tcPr>
          <w:p>
            <w:pPr>
              <w:jc w:val="left"/>
            </w:pPr>
            <w:r>
              <w:rPr>
                <w:rFonts w:ascii="Calibri" w:hAnsi="Calibri"/>
                <w:color w:val="282828"/>
                <w:sz w:val="19"/>
              </w:rPr>
              <w:t>Relative loading of price_data.csv and schedules.csv with schema verification</w:t>
            </w:r>
          </w:p>
        </w:tc>
      </w:tr>
      <w:tr>
        <w:tc>
          <w:tcPr>
            <w:tcW w:type="dxa" w:w="2592"/>
            <w:shd w:fill="F7F9FB"/>
            <w:tcMar>
              <w:top w:w="80" w:type="dxa"/>
              <w:bottom w:w="80" w:type="dxa"/>
              <w:left w:w="150" w:type="dxa"/>
              <w:right w:w="150" w:type="dxa"/>
            </w:tcMar>
          </w:tcPr>
          <w:p>
            <w:pPr>
              <w:jc w:val="left"/>
            </w:pPr>
            <w:r>
              <w:rPr>
                <w:rFonts w:ascii="Calibri" w:hAnsi="Calibri"/>
                <w:color w:val="282828"/>
                <w:sz w:val="19"/>
              </w:rPr>
              <w:t>2. Quality Audit</w:t>
            </w:r>
          </w:p>
        </w:tc>
        <w:tc>
          <w:tcPr>
            <w:tcW w:type="dxa" w:w="6336"/>
            <w:shd w:fill="F7F9FB"/>
            <w:tcMar>
              <w:top w:w="80" w:type="dxa"/>
              <w:bottom w:w="80" w:type="dxa"/>
              <w:left w:w="150" w:type="dxa"/>
              <w:right w:w="150" w:type="dxa"/>
            </w:tcMar>
          </w:tcPr>
          <w:p>
            <w:pPr>
              <w:jc w:val="left"/>
            </w:pPr>
            <w:r>
              <w:rPr>
                <w:rFonts w:ascii="Calibri" w:hAnsi="Calibri"/>
                <w:color w:val="282828"/>
                <w:sz w:val="19"/>
              </w:rPr>
              <w:t>Inspection of missing values, zero duplicates, and distribution percentiles</w:t>
            </w:r>
          </w:p>
        </w:tc>
      </w:tr>
      <w:tr>
        <w:tc>
          <w:tcPr>
            <w:tcW w:type="dxa" w:w="2592"/>
            <w:shd w:fill="FFFFFF"/>
            <w:tcMar>
              <w:top w:w="80" w:type="dxa"/>
              <w:bottom w:w="80" w:type="dxa"/>
              <w:left w:w="150" w:type="dxa"/>
              <w:right w:w="150" w:type="dxa"/>
            </w:tcMar>
          </w:tcPr>
          <w:p>
            <w:pPr>
              <w:jc w:val="left"/>
            </w:pPr>
            <w:r>
              <w:rPr>
                <w:rFonts w:ascii="Calibri" w:hAnsi="Calibri"/>
                <w:color w:val="282828"/>
                <w:sz w:val="19"/>
              </w:rPr>
              <w:t>3. Data Cleaning</w:t>
            </w:r>
          </w:p>
        </w:tc>
        <w:tc>
          <w:tcPr>
            <w:tcW w:type="dxa" w:w="6336"/>
            <w:shd w:fill="FFFFFF"/>
            <w:tcMar>
              <w:top w:w="80" w:type="dxa"/>
              <w:bottom w:w="80" w:type="dxa"/>
              <w:left w:w="150" w:type="dxa"/>
              <w:right w:w="150" w:type="dxa"/>
            </w:tcMar>
          </w:tcPr>
          <w:p>
            <w:pPr>
              <w:jc w:val="left"/>
            </w:pPr>
            <w:r>
              <w:rPr>
                <w:rFonts w:ascii="Calibri" w:hAnsi="Calibri"/>
                <w:color w:val="282828"/>
                <w:sz w:val="19"/>
              </w:rPr>
              <w:t>Resolution of negative duration wrap-arounds (+1440 min) and whitespace trimming</w:t>
            </w:r>
          </w:p>
        </w:tc>
      </w:tr>
      <w:tr>
        <w:tc>
          <w:tcPr>
            <w:tcW w:type="dxa" w:w="2592"/>
            <w:shd w:fill="F7F9FB"/>
            <w:tcMar>
              <w:top w:w="80" w:type="dxa"/>
              <w:bottom w:w="80" w:type="dxa"/>
              <w:left w:w="150" w:type="dxa"/>
              <w:right w:w="150" w:type="dxa"/>
            </w:tcMar>
          </w:tcPr>
          <w:p>
            <w:pPr>
              <w:jc w:val="left"/>
            </w:pPr>
            <w:r>
              <w:rPr>
                <w:rFonts w:ascii="Calibri" w:hAnsi="Calibri"/>
                <w:color w:val="282828"/>
                <w:sz w:val="19"/>
              </w:rPr>
              <w:t>4. Feature Engineering</w:t>
            </w:r>
          </w:p>
        </w:tc>
        <w:tc>
          <w:tcPr>
            <w:tcW w:type="dxa" w:w="6336"/>
            <w:shd w:fill="F7F9FB"/>
            <w:tcMar>
              <w:top w:w="80" w:type="dxa"/>
              <w:bottom w:w="80" w:type="dxa"/>
              <w:left w:w="150" w:type="dxa"/>
              <w:right w:w="150" w:type="dxa"/>
            </w:tcMar>
          </w:tcPr>
          <w:p>
            <w:pPr>
              <w:jc w:val="left"/>
            </w:pPr>
            <w:r>
              <w:rPr>
                <w:rFonts w:ascii="Calibri" w:hAnsi="Calibri"/>
                <w:color w:val="282828"/>
                <w:sz w:val="19"/>
              </w:rPr>
              <w:t>Derivation of duration_hours, fare_per_km, speed_kmh, train_type, and parsed availability</w:t>
            </w:r>
          </w:p>
        </w:tc>
      </w:tr>
      <w:tr>
        <w:tc>
          <w:tcPr>
            <w:tcW w:type="dxa" w:w="2592"/>
            <w:shd w:fill="FFFFFF"/>
            <w:tcMar>
              <w:top w:w="80" w:type="dxa"/>
              <w:bottom w:w="80" w:type="dxa"/>
              <w:left w:w="150" w:type="dxa"/>
              <w:right w:w="150" w:type="dxa"/>
            </w:tcMar>
          </w:tcPr>
          <w:p>
            <w:pPr>
              <w:jc w:val="left"/>
            </w:pPr>
            <w:r>
              <w:rPr>
                <w:rFonts w:ascii="Calibri" w:hAnsi="Calibri"/>
                <w:color w:val="282828"/>
                <w:sz w:val="19"/>
              </w:rPr>
              <w:t>5. Exploratory Analysis</w:t>
            </w:r>
          </w:p>
        </w:tc>
        <w:tc>
          <w:tcPr>
            <w:tcW w:type="dxa" w:w="6336"/>
            <w:shd w:fill="FFFFFF"/>
            <w:tcMar>
              <w:top w:w="80" w:type="dxa"/>
              <w:bottom w:w="80" w:type="dxa"/>
              <w:left w:w="150" w:type="dxa"/>
              <w:right w:w="150" w:type="dxa"/>
            </w:tcMar>
          </w:tcPr>
          <w:p>
            <w:pPr>
              <w:jc w:val="left"/>
            </w:pPr>
            <w:r>
              <w:rPr>
                <w:rFonts w:ascii="Calibri" w:hAnsi="Calibri"/>
                <w:color w:val="282828"/>
                <w:sz w:val="19"/>
              </w:rPr>
              <w:t>Multi-faceted bivariate and multivariate visualization across fares, routes, and classes</w:t>
            </w:r>
          </w:p>
        </w:tc>
      </w:tr>
      <w:tr>
        <w:tc>
          <w:tcPr>
            <w:tcW w:type="dxa" w:w="2592"/>
            <w:shd w:fill="F7F9FB"/>
            <w:tcMar>
              <w:top w:w="80" w:type="dxa"/>
              <w:bottom w:w="80" w:type="dxa"/>
              <w:left w:w="150" w:type="dxa"/>
              <w:right w:w="150" w:type="dxa"/>
            </w:tcMar>
          </w:tcPr>
          <w:p>
            <w:pPr>
              <w:jc w:val="left"/>
            </w:pPr>
            <w:r>
              <w:rPr>
                <w:rFonts w:ascii="Calibri" w:hAnsi="Calibri"/>
                <w:color w:val="282828"/>
                <w:sz w:val="19"/>
              </w:rPr>
              <w:t>6. Predictive ML</w:t>
            </w:r>
          </w:p>
        </w:tc>
        <w:tc>
          <w:tcPr>
            <w:tcW w:type="dxa" w:w="6336"/>
            <w:shd w:fill="F7F9FB"/>
            <w:tcMar>
              <w:top w:w="80" w:type="dxa"/>
              <w:bottom w:w="80" w:type="dxa"/>
              <w:left w:w="150" w:type="dxa"/>
              <w:right w:w="150" w:type="dxa"/>
            </w:tcMar>
          </w:tcPr>
          <w:p>
            <w:pPr>
              <w:jc w:val="left"/>
            </w:pPr>
            <w:r>
              <w:rPr>
                <w:rFonts w:ascii="Calibri" w:hAnsi="Calibri"/>
                <w:color w:val="282828"/>
                <w:sz w:val="19"/>
              </w:rPr>
              <w:t>80/20 train/test split, Linear Regression baseline vs Random Forest Regressor</w:t>
            </w:r>
          </w:p>
        </w:tc>
      </w:tr>
      <w:tr>
        <w:tc>
          <w:tcPr>
            <w:tcW w:type="dxa" w:w="2592"/>
            <w:shd w:fill="FFFFFF"/>
            <w:tcMar>
              <w:top w:w="80" w:type="dxa"/>
              <w:bottom w:w="80" w:type="dxa"/>
              <w:left w:w="150" w:type="dxa"/>
              <w:right w:w="150" w:type="dxa"/>
            </w:tcMar>
          </w:tcPr>
          <w:p>
            <w:pPr>
              <w:jc w:val="left"/>
            </w:pPr>
            <w:r>
              <w:rPr>
                <w:rFonts w:ascii="Calibri" w:hAnsi="Calibri"/>
                <w:color w:val="282828"/>
                <w:sz w:val="19"/>
              </w:rPr>
              <w:t>7. Model Interpretation</w:t>
            </w:r>
          </w:p>
        </w:tc>
        <w:tc>
          <w:tcPr>
            <w:tcW w:type="dxa" w:w="6336"/>
            <w:shd w:fill="FFFFFF"/>
            <w:tcMar>
              <w:top w:w="80" w:type="dxa"/>
              <w:bottom w:w="80" w:type="dxa"/>
              <w:left w:w="150" w:type="dxa"/>
              <w:right w:w="150" w:type="dxa"/>
            </w:tcMar>
          </w:tcPr>
          <w:p>
            <w:pPr>
              <w:jc w:val="left"/>
            </w:pPr>
            <w:r>
              <w:rPr>
                <w:rFonts w:ascii="Calibri" w:hAnsi="Calibri"/>
                <w:color w:val="282828"/>
                <w:sz w:val="19"/>
              </w:rPr>
              <w:t>Actual vs Predicted analysis, residual distribution, and feature importance rankings</w:t>
            </w:r>
          </w:p>
        </w:tc>
      </w:tr>
      <w:tr>
        <w:tc>
          <w:tcPr>
            <w:tcW w:type="dxa" w:w="2592"/>
            <w:shd w:fill="F7F9FB"/>
            <w:tcMar>
              <w:top w:w="80" w:type="dxa"/>
              <w:bottom w:w="80" w:type="dxa"/>
              <w:left w:w="150" w:type="dxa"/>
              <w:right w:w="150" w:type="dxa"/>
            </w:tcMar>
          </w:tcPr>
          <w:p>
            <w:pPr>
              <w:jc w:val="left"/>
            </w:pPr>
            <w:r>
              <w:rPr>
                <w:rFonts w:ascii="Calibri" w:hAnsi="Calibri"/>
                <w:color w:val="282828"/>
                <w:sz w:val="19"/>
              </w:rPr>
              <w:t>8. Policy Synthesis</w:t>
            </w:r>
          </w:p>
        </w:tc>
        <w:tc>
          <w:tcPr>
            <w:tcW w:type="dxa" w:w="6336"/>
            <w:shd w:fill="F7F9FB"/>
            <w:tcMar>
              <w:top w:w="80" w:type="dxa"/>
              <w:bottom w:w="80" w:type="dxa"/>
              <w:left w:w="150" w:type="dxa"/>
              <w:right w:w="150" w:type="dxa"/>
            </w:tcMar>
          </w:tcPr>
          <w:p>
            <w:pPr>
              <w:jc w:val="left"/>
            </w:pPr>
            <w:r>
              <w:rPr>
                <w:rFonts w:ascii="Calibri" w:hAnsi="Calibri"/>
                <w:color w:val="282828"/>
                <w:sz w:val="19"/>
              </w:rPr>
              <w:t>Translating empirical patterns into operational recommendations and reporting</w:t>
            </w:r>
          </w:p>
        </w:tc>
      </w:tr>
    </w:tbl>
    <w:p>
      <w:pPr>
        <w:spacing w:after="120"/>
      </w:pPr>
    </w:p>
    <w:p>
      <w:r>
        <w:br w:type="page"/>
      </w:r>
    </w:p>
    <w:p>
      <w:pPr>
        <w:keepNext/>
        <w:spacing w:before="360" w:after="120"/>
      </w:pPr>
      <w:r>
        <w:rPr>
          <w:rFonts w:ascii="Calibri" w:hAnsi="Calibri"/>
          <w:b/>
          <w:color w:val="1B365D"/>
          <w:sz w:val="32"/>
        </w:rPr>
        <w:t>6. Data Quality Audit &amp; Data Cleaning</w:t>
      </w:r>
    </w:p>
    <w:p>
      <w:pPr>
        <w:spacing w:line="276" w:lineRule="auto" w:after="120"/>
      </w:pPr>
      <w:r>
        <w:rPr>
          <w:rFonts w:ascii="Calibri" w:hAnsi="Calibri"/>
          <w:color w:val="282828"/>
          <w:sz w:val="22"/>
        </w:rPr>
        <w:t>An exhaustive audit of the 326,643 pricing records confirmed high data completeness with zero null values across all 19 columns and zero exact duplicate records.</w:t>
      </w:r>
    </w:p>
    <w:p>
      <w:pPr>
        <w:keepNext/>
        <w:spacing w:before="240" w:after="80"/>
      </w:pPr>
      <w:r>
        <w:rPr>
          <w:rFonts w:ascii="Calibri" w:hAnsi="Calibri"/>
          <w:b/>
          <w:color w:val="46505F"/>
          <w:sz w:val="26"/>
        </w:rPr>
        <w:t>Identification &amp; Remediation of Midnight Rollover Anomaly</w:t>
      </w:r>
    </w:p>
    <w:p>
      <w:pPr>
        <w:spacing w:line="276" w:lineRule="auto" w:after="120"/>
      </w:pPr>
      <w:r>
        <w:rPr>
          <w:rFonts w:ascii="Calibri" w:hAnsi="Calibri"/>
          <w:color w:val="282828"/>
          <w:sz w:val="22"/>
        </w:rPr>
        <w:t>During the exploratory audit, exactly 189 records exhibited negative values in the duration column (ranging down to -1423 minutes). Closer inspection of the station itineraries revealed that this anomaly occurred when a train departed before midnight and arrived shortly after midnight in the subsequent 24-hour cycle. The web scraper computed `arrival_time - departure_time` without accounting for the date rollover.</w:t>
      </w:r>
    </w:p>
    <w:p>
      <w:pPr>
        <w:spacing w:line="276" w:lineRule="auto" w:after="120"/>
      </w:pPr>
      <w:r>
        <w:rPr>
          <w:rFonts w:ascii="Calibri" w:hAnsi="Calibri"/>
          <w:color w:val="282828"/>
          <w:sz w:val="22"/>
        </w:rPr>
        <w:t>Because a standard solar day consists of exactly 1,440 minutes (24 hours × 60 minutes), adding 1,440 minutes to all negative duration values successfully restored the true journey duration. For example, train #3191 from BP to NH had an initial duration of -1418 minutes for a 15 km trip; after adding 1,440 minutes, the true duration was verified as exactly 22 minutes.</w:t>
      </w:r>
    </w:p>
    <w:tbl>
      <w:tblPr>
        <w:tblW w:type="auto" w:w="0"/>
        <w:jc w:val="center"/>
        <w:tblLook w:firstColumn="1" w:firstRow="1" w:lastColumn="0" w:lastRow="0" w:noHBand="0" w:noVBand="1" w:val="04A0"/>
      </w:tblPr>
      <w:tblGrid>
        <w:gridCol w:w="3120"/>
        <w:gridCol w:w="3120"/>
        <w:gridCol w:w="3120"/>
      </w:tblGrid>
      <w:tr>
        <w:tc>
          <w:tcPr>
            <w:tcW w:type="dxa" w:w="2880"/>
            <w:shd w:fill="1B365D"/>
            <w:tcMar>
              <w:top w:w="120" w:type="dxa"/>
              <w:bottom w:w="120" w:type="dxa"/>
              <w:left w:w="150" w:type="dxa"/>
              <w:right w:w="150" w:type="dxa"/>
            </w:tcMar>
          </w:tcPr>
          <w:p>
            <w:pPr>
              <w:jc w:val="left"/>
            </w:pPr>
            <w:r>
              <w:rPr>
                <w:rFonts w:ascii="Calibri" w:hAnsi="Calibri"/>
                <w:b/>
                <w:color w:val="FFFFFF"/>
                <w:sz w:val="20"/>
              </w:rPr>
              <w:t>Audit Dimension</w:t>
            </w:r>
          </w:p>
        </w:tc>
        <w:tc>
          <w:tcPr>
            <w:tcW w:type="dxa" w:w="2592"/>
            <w:shd w:fill="1B365D"/>
            <w:tcMar>
              <w:top w:w="120" w:type="dxa"/>
              <w:bottom w:w="120" w:type="dxa"/>
              <w:left w:w="150" w:type="dxa"/>
              <w:right w:w="150" w:type="dxa"/>
            </w:tcMar>
          </w:tcPr>
          <w:p>
            <w:pPr>
              <w:jc w:val="left"/>
            </w:pPr>
            <w:r>
              <w:rPr>
                <w:rFonts w:ascii="Calibri" w:hAnsi="Calibri"/>
                <w:b/>
                <w:color w:val="FFFFFF"/>
                <w:sz w:val="20"/>
              </w:rPr>
              <w:t>Value / Count</w:t>
            </w:r>
          </w:p>
        </w:tc>
        <w:tc>
          <w:tcPr>
            <w:tcW w:type="dxa" w:w="3456"/>
            <w:shd w:fill="1B365D"/>
            <w:tcMar>
              <w:top w:w="120" w:type="dxa"/>
              <w:bottom w:w="120" w:type="dxa"/>
              <w:left w:w="150" w:type="dxa"/>
              <w:right w:w="150" w:type="dxa"/>
            </w:tcMar>
          </w:tcPr>
          <w:p>
            <w:pPr>
              <w:jc w:val="left"/>
            </w:pPr>
            <w:r>
              <w:rPr>
                <w:rFonts w:ascii="Calibri" w:hAnsi="Calibri"/>
                <w:b/>
                <w:color w:val="FFFFFF"/>
                <w:sz w:val="20"/>
              </w:rPr>
              <w:t>Action Taken</w:t>
            </w:r>
          </w:p>
        </w:tc>
      </w:tr>
      <w:tr>
        <w:tc>
          <w:tcPr>
            <w:tcW w:type="dxa" w:w="2880"/>
            <w:shd w:fill="FFFFFF"/>
            <w:tcMar>
              <w:top w:w="80" w:type="dxa"/>
              <w:bottom w:w="80" w:type="dxa"/>
              <w:left w:w="150" w:type="dxa"/>
              <w:right w:w="150" w:type="dxa"/>
            </w:tcMar>
          </w:tcPr>
          <w:p>
            <w:pPr>
              <w:jc w:val="left"/>
            </w:pPr>
            <w:r>
              <w:rPr>
                <w:rFonts w:ascii="Calibri" w:hAnsi="Calibri"/>
                <w:color w:val="282828"/>
                <w:sz w:val="19"/>
              </w:rPr>
              <w:t>Initial Record Count</w:t>
            </w:r>
          </w:p>
        </w:tc>
        <w:tc>
          <w:tcPr>
            <w:tcW w:type="dxa" w:w="2592"/>
            <w:shd w:fill="FFFFFF"/>
            <w:tcMar>
              <w:top w:w="80" w:type="dxa"/>
              <w:bottom w:w="80" w:type="dxa"/>
              <w:left w:w="150" w:type="dxa"/>
              <w:right w:w="150" w:type="dxa"/>
            </w:tcMar>
          </w:tcPr>
          <w:p>
            <w:pPr>
              <w:jc w:val="left"/>
            </w:pPr>
            <w:r>
              <w:rPr>
                <w:rFonts w:ascii="Calibri" w:hAnsi="Calibri"/>
                <w:color w:val="282828"/>
                <w:sz w:val="19"/>
              </w:rPr>
              <w:t>326,643 rows</w:t>
            </w:r>
          </w:p>
        </w:tc>
        <w:tc>
          <w:tcPr>
            <w:tcW w:type="dxa" w:w="3456"/>
            <w:shd w:fill="FFFFFF"/>
            <w:tcMar>
              <w:top w:w="80" w:type="dxa"/>
              <w:bottom w:w="80" w:type="dxa"/>
              <w:left w:w="150" w:type="dxa"/>
              <w:right w:w="150" w:type="dxa"/>
            </w:tcMar>
          </w:tcPr>
          <w:p>
            <w:pPr>
              <w:jc w:val="left"/>
            </w:pPr>
            <w:r>
              <w:rPr>
                <w:rFonts w:ascii="Calibri" w:hAnsi="Calibri"/>
                <w:color w:val="282828"/>
                <w:sz w:val="19"/>
              </w:rPr>
              <w:t>19 columns</w:t>
            </w:r>
          </w:p>
        </w:tc>
      </w:tr>
      <w:tr>
        <w:tc>
          <w:tcPr>
            <w:tcW w:type="dxa" w:w="2880"/>
            <w:shd w:fill="F7F9FB"/>
            <w:tcMar>
              <w:top w:w="80" w:type="dxa"/>
              <w:bottom w:w="80" w:type="dxa"/>
              <w:left w:w="150" w:type="dxa"/>
              <w:right w:w="150" w:type="dxa"/>
            </w:tcMar>
          </w:tcPr>
          <w:p>
            <w:pPr>
              <w:jc w:val="left"/>
            </w:pPr>
            <w:r>
              <w:rPr>
                <w:rFonts w:ascii="Calibri" w:hAnsi="Calibri"/>
                <w:color w:val="282828"/>
                <w:sz w:val="19"/>
              </w:rPr>
              <w:t>Null / Missing Values</w:t>
            </w:r>
          </w:p>
        </w:tc>
        <w:tc>
          <w:tcPr>
            <w:tcW w:type="dxa" w:w="2592"/>
            <w:shd w:fill="F7F9FB"/>
            <w:tcMar>
              <w:top w:w="80" w:type="dxa"/>
              <w:bottom w:w="80" w:type="dxa"/>
              <w:left w:w="150" w:type="dxa"/>
              <w:right w:w="150" w:type="dxa"/>
            </w:tcMar>
          </w:tcPr>
          <w:p>
            <w:pPr>
              <w:jc w:val="left"/>
            </w:pPr>
            <w:r>
              <w:rPr>
                <w:rFonts w:ascii="Calibri" w:hAnsi="Calibri"/>
                <w:color w:val="282828"/>
                <w:sz w:val="19"/>
              </w:rPr>
              <w:t>0 (0.00%)</w:t>
            </w:r>
          </w:p>
        </w:tc>
        <w:tc>
          <w:tcPr>
            <w:tcW w:type="dxa" w:w="3456"/>
            <w:shd w:fill="F7F9FB"/>
            <w:tcMar>
              <w:top w:w="80" w:type="dxa"/>
              <w:bottom w:w="80" w:type="dxa"/>
              <w:left w:w="150" w:type="dxa"/>
              <w:right w:w="150" w:type="dxa"/>
            </w:tcMar>
          </w:tcPr>
          <w:p>
            <w:pPr>
              <w:jc w:val="left"/>
            </w:pPr>
            <w:r>
              <w:rPr>
                <w:rFonts w:ascii="Calibri" w:hAnsi="Calibri"/>
                <w:color w:val="282828"/>
                <w:sz w:val="19"/>
              </w:rPr>
              <w:t>No imputation required</w:t>
            </w:r>
          </w:p>
        </w:tc>
      </w:tr>
      <w:tr>
        <w:tc>
          <w:tcPr>
            <w:tcW w:type="dxa" w:w="2880"/>
            <w:shd w:fill="FFFFFF"/>
            <w:tcMar>
              <w:top w:w="80" w:type="dxa"/>
              <w:bottom w:w="80" w:type="dxa"/>
              <w:left w:w="150" w:type="dxa"/>
              <w:right w:w="150" w:type="dxa"/>
            </w:tcMar>
          </w:tcPr>
          <w:p>
            <w:pPr>
              <w:jc w:val="left"/>
            </w:pPr>
            <w:r>
              <w:rPr>
                <w:rFonts w:ascii="Calibri" w:hAnsi="Calibri"/>
                <w:color w:val="282828"/>
                <w:sz w:val="19"/>
              </w:rPr>
              <w:t>Duplicate Rows</w:t>
            </w:r>
          </w:p>
        </w:tc>
        <w:tc>
          <w:tcPr>
            <w:tcW w:type="dxa" w:w="2592"/>
            <w:shd w:fill="FFFFFF"/>
            <w:tcMar>
              <w:top w:w="80" w:type="dxa"/>
              <w:bottom w:w="80" w:type="dxa"/>
              <w:left w:w="150" w:type="dxa"/>
              <w:right w:w="150" w:type="dxa"/>
            </w:tcMar>
          </w:tcPr>
          <w:p>
            <w:pPr>
              <w:jc w:val="left"/>
            </w:pPr>
            <w:r>
              <w:rPr>
                <w:rFonts w:ascii="Calibri" w:hAnsi="Calibri"/>
                <w:color w:val="282828"/>
                <w:sz w:val="19"/>
              </w:rPr>
              <w:t>0 (0.00%)</w:t>
            </w:r>
          </w:p>
        </w:tc>
        <w:tc>
          <w:tcPr>
            <w:tcW w:type="dxa" w:w="3456"/>
            <w:shd w:fill="FFFFFF"/>
            <w:tcMar>
              <w:top w:w="80" w:type="dxa"/>
              <w:bottom w:w="80" w:type="dxa"/>
              <w:left w:w="150" w:type="dxa"/>
              <w:right w:w="150" w:type="dxa"/>
            </w:tcMar>
          </w:tcPr>
          <w:p>
            <w:pPr>
              <w:jc w:val="left"/>
            </w:pPr>
            <w:r>
              <w:rPr>
                <w:rFonts w:ascii="Calibri" w:hAnsi="Calibri"/>
                <w:color w:val="282828"/>
                <w:sz w:val="19"/>
              </w:rPr>
              <w:t>All records structurally unique</w:t>
            </w:r>
          </w:p>
        </w:tc>
      </w:tr>
      <w:tr>
        <w:tc>
          <w:tcPr>
            <w:tcW w:type="dxa" w:w="2880"/>
            <w:shd w:fill="F7F9FB"/>
            <w:tcMar>
              <w:top w:w="80" w:type="dxa"/>
              <w:bottom w:w="80" w:type="dxa"/>
              <w:left w:w="150" w:type="dxa"/>
              <w:right w:w="150" w:type="dxa"/>
            </w:tcMar>
          </w:tcPr>
          <w:p>
            <w:pPr>
              <w:jc w:val="left"/>
            </w:pPr>
            <w:r>
              <w:rPr>
                <w:rFonts w:ascii="Calibri" w:hAnsi="Calibri"/>
                <w:color w:val="282828"/>
                <w:sz w:val="19"/>
              </w:rPr>
              <w:t>Negative Duration Records</w:t>
            </w:r>
          </w:p>
        </w:tc>
        <w:tc>
          <w:tcPr>
            <w:tcW w:type="dxa" w:w="2592"/>
            <w:shd w:fill="F7F9FB"/>
            <w:tcMar>
              <w:top w:w="80" w:type="dxa"/>
              <w:bottom w:w="80" w:type="dxa"/>
              <w:left w:w="150" w:type="dxa"/>
              <w:right w:w="150" w:type="dxa"/>
            </w:tcMar>
          </w:tcPr>
          <w:p>
            <w:pPr>
              <w:jc w:val="left"/>
            </w:pPr>
            <w:r>
              <w:rPr>
                <w:rFonts w:ascii="Calibri" w:hAnsi="Calibri"/>
                <w:color w:val="282828"/>
                <w:sz w:val="19"/>
              </w:rPr>
              <w:t>189 records</w:t>
            </w:r>
          </w:p>
        </w:tc>
        <w:tc>
          <w:tcPr>
            <w:tcW w:type="dxa" w:w="3456"/>
            <w:shd w:fill="F7F9FB"/>
            <w:tcMar>
              <w:top w:w="80" w:type="dxa"/>
              <w:bottom w:w="80" w:type="dxa"/>
              <w:left w:w="150" w:type="dxa"/>
              <w:right w:w="150" w:type="dxa"/>
            </w:tcMar>
          </w:tcPr>
          <w:p>
            <w:pPr>
              <w:jc w:val="left"/>
            </w:pPr>
            <w:r>
              <w:rPr>
                <w:rFonts w:ascii="Calibri" w:hAnsi="Calibri"/>
                <w:color w:val="282828"/>
                <w:sz w:val="19"/>
              </w:rPr>
              <w:t>Corrected via +1440 min wrap-around</w:t>
            </w:r>
          </w:p>
        </w:tc>
      </w:tr>
      <w:tr>
        <w:tc>
          <w:tcPr>
            <w:tcW w:type="dxa" w:w="2880"/>
            <w:shd w:fill="FFFFFF"/>
            <w:tcMar>
              <w:top w:w="80" w:type="dxa"/>
              <w:bottom w:w="80" w:type="dxa"/>
              <w:left w:w="150" w:type="dxa"/>
              <w:right w:w="150" w:type="dxa"/>
            </w:tcMar>
          </w:tcPr>
          <w:p>
            <w:pPr>
              <w:jc w:val="left"/>
            </w:pPr>
            <w:r>
              <w:rPr>
                <w:rFonts w:ascii="Calibri" w:hAnsi="Calibri"/>
                <w:color w:val="282828"/>
                <w:sz w:val="19"/>
              </w:rPr>
              <w:t>Merged Schedules Shape</w:t>
            </w:r>
          </w:p>
        </w:tc>
        <w:tc>
          <w:tcPr>
            <w:tcW w:type="dxa" w:w="2592"/>
            <w:shd w:fill="FFFFFF"/>
            <w:tcMar>
              <w:top w:w="80" w:type="dxa"/>
              <w:bottom w:w="80" w:type="dxa"/>
              <w:left w:w="150" w:type="dxa"/>
              <w:right w:w="150" w:type="dxa"/>
            </w:tcMar>
          </w:tcPr>
          <w:p>
            <w:pPr>
              <w:jc w:val="left"/>
            </w:pPr>
            <w:r>
              <w:rPr>
                <w:rFonts w:ascii="Calibri" w:hAnsi="Calibri"/>
                <w:color w:val="282828"/>
                <w:sz w:val="19"/>
              </w:rPr>
              <w:t>326,643 rows</w:t>
            </w:r>
          </w:p>
        </w:tc>
        <w:tc>
          <w:tcPr>
            <w:tcW w:type="dxa" w:w="3456"/>
            <w:shd w:fill="FFFFFF"/>
            <w:tcMar>
              <w:top w:w="80" w:type="dxa"/>
              <w:bottom w:w="80" w:type="dxa"/>
              <w:left w:w="150" w:type="dxa"/>
              <w:right w:w="150" w:type="dxa"/>
            </w:tcMar>
          </w:tcPr>
          <w:p>
            <w:pPr>
              <w:jc w:val="left"/>
            </w:pPr>
            <w:r>
              <w:rPr>
                <w:rFonts w:ascii="Calibri" w:hAnsi="Calibri"/>
                <w:color w:val="282828"/>
                <w:sz w:val="19"/>
              </w:rPr>
              <w:t>38 columns</w:t>
            </w:r>
          </w:p>
        </w:tc>
      </w:tr>
    </w:tbl>
    <w:p>
      <w:pPr>
        <w:spacing w:after="120"/>
      </w:pPr>
    </w:p>
    <w:p>
      <w:pPr>
        <w:keepNext/>
        <w:spacing w:before="360" w:after="120"/>
      </w:pPr>
      <w:r>
        <w:rPr>
          <w:rFonts w:ascii="Calibri" w:hAnsi="Calibri"/>
          <w:b/>
          <w:color w:val="1B365D"/>
          <w:sz w:val="32"/>
        </w:rPr>
        <w:t>7. Feature Engineering</w:t>
      </w:r>
    </w:p>
    <w:p>
      <w:pPr>
        <w:spacing w:line="276" w:lineRule="auto" w:after="120"/>
      </w:pPr>
      <w:r>
        <w:rPr>
          <w:rFonts w:ascii="Calibri" w:hAnsi="Calibri"/>
          <w:color w:val="282828"/>
          <w:sz w:val="22"/>
        </w:rPr>
        <w:t>To support comprehensive analytics, multiple domain features were constructed:</w:t>
      </w:r>
    </w:p>
    <w:p>
      <w:pPr>
        <w:spacing w:line="276" w:lineRule="auto" w:after="120"/>
      </w:pPr>
      <w:r>
        <w:rPr>
          <w:rFonts w:ascii="Calibri" w:hAnsi="Calibri"/>
          <w:color w:val="282828"/>
          <w:sz w:val="22"/>
        </w:rPr>
        <w:t>1. Duration in Hours (`duration_hours`): `duration_clean / 60.0`, facilitating intuitive journey length classification.</w:t>
      </w:r>
    </w:p>
    <w:p>
      <w:pPr>
        <w:spacing w:line="276" w:lineRule="auto" w:after="120"/>
      </w:pPr>
      <w:r>
        <w:rPr>
          <w:rFonts w:ascii="Calibri" w:hAnsi="Calibri"/>
          <w:color w:val="282828"/>
          <w:sz w:val="22"/>
        </w:rPr>
        <w:t>2. Fare per Kilometer (`fare_per_km`): Evaluates passenger tariff density: `totalFare / distance`.</w:t>
      </w:r>
    </w:p>
    <w:p>
      <w:pPr>
        <w:spacing w:line="276" w:lineRule="auto" w:after="120"/>
      </w:pPr>
      <w:r>
        <w:rPr>
          <w:rFonts w:ascii="Calibri" w:hAnsi="Calibri"/>
          <w:color w:val="282828"/>
          <w:sz w:val="22"/>
        </w:rPr>
        <w:t>3. Average Operational Speed (`speed_kmh`): Scheduled journey speed: `distance / duration_hours`.</w:t>
      </w:r>
    </w:p>
    <w:p>
      <w:pPr>
        <w:spacing w:line="276" w:lineRule="auto" w:after="120"/>
      </w:pPr>
      <w:r>
        <w:rPr>
          <w:rFonts w:ascii="Calibri" w:hAnsi="Calibri"/>
          <w:color w:val="282828"/>
          <w:sz w:val="22"/>
        </w:rPr>
        <w:t>4. Route Identifier (`route`): Concatenated string `fromStnCode -&gt; toStnCode`, yielding 74,615 distinct station pairs.</w:t>
      </w:r>
    </w:p>
    <w:p>
      <w:pPr>
        <w:spacing w:line="276" w:lineRule="auto" w:after="120"/>
      </w:pPr>
      <w:r>
        <w:rPr>
          <w:rFonts w:ascii="Calibri" w:hAnsi="Calibri"/>
          <w:color w:val="282828"/>
          <w:sz w:val="22"/>
        </w:rPr>
        <w:t>5. Operational Fleet Classification (`train_type`): Extracted service designation from official train names (Express, Superfast, Special, Mail, Duronto, Rajdhani, Shatabdi, Passenger, Vande Bharat).</w:t>
      </w:r>
    </w:p>
    <w:p>
      <w:pPr>
        <w:spacing w:line="276" w:lineRule="auto" w:after="120"/>
      </w:pPr>
      <w:r>
        <w:rPr>
          <w:rFonts w:ascii="Calibri" w:hAnsi="Calibri"/>
          <w:color w:val="282828"/>
          <w:sz w:val="22"/>
        </w:rPr>
        <w:t>6. Parsed Availability Status (`avail_status`): Vectorized regex extraction categorizing raw JSON status entries into `Waitlist`, `Available`, `Regret`, `Not Available`, `RAC`, and `Cancelled`.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after="0"/>
            </w:pPr>
            <w:r>
              <w:rPr>
                <w:rFonts w:ascii="Calibri" w:hAnsi="Calibri"/>
                <w:b/>
                <w:color w:val="1B365D"/>
                <w:sz w:val="21"/>
              </w:rPr>
              <w:t xml:space="preserve">Engineering Value: </w:t>
            </w:r>
            <w:r>
              <w:rPr>
                <w:rFonts w:ascii="Calibri" w:hAnsi="Calibri"/>
                <w:color w:val="282828"/>
                <w:sz w:val="21"/>
              </w:rPr>
              <w:t>Feature engineering transformed raw scheduling and pricing inputs into normalized, comparable metrics that expose pricing elasticity and service efficiency across the railway network.</w:t>
            </w:r>
          </w:p>
        </w:tc>
      </w:tr>
    </w:tbl>
    <w:p>
      <w:pPr>
        <w:spacing w:after="80"/>
      </w:pPr>
    </w:p>
    <w:p>
      <w:r>
        <w:br w:type="page"/>
      </w:r>
    </w:p>
    <w:p>
      <w:pPr>
        <w:keepNext/>
        <w:spacing w:before="360" w:after="120"/>
      </w:pPr>
      <w:r>
        <w:rPr>
          <w:rFonts w:ascii="Calibri" w:hAnsi="Calibri"/>
          <w:b/>
          <w:color w:val="1B365D"/>
          <w:sz w:val="32"/>
        </w:rPr>
        <w:t>8. Exploratory Data Analysis (EDA)</w:t>
      </w:r>
    </w:p>
    <w:p>
      <w:pPr>
        <w:spacing w:line="276" w:lineRule="auto" w:after="120"/>
      </w:pPr>
      <w:r>
        <w:rPr>
          <w:rFonts w:ascii="Calibri" w:hAnsi="Calibri"/>
          <w:color w:val="282828"/>
          <w:sz w:val="22"/>
        </w:rPr>
        <w:t>Exploratory Data Analysis was conducted across multiple operational dimensions, generating 14 high-resolution visualizations.</w:t>
      </w:r>
    </w:p>
    <w:p>
      <w:pPr>
        <w:keepNext/>
        <w:spacing w:before="240" w:after="80"/>
      </w:pPr>
      <w:r>
        <w:rPr>
          <w:rFonts w:ascii="Calibri" w:hAnsi="Calibri"/>
          <w:b/>
          <w:color w:val="46505F"/>
          <w:sz w:val="26"/>
        </w:rPr>
        <w:t>8.1 Fare Distribution by Travel Class</w:t>
      </w:r>
    </w:p>
    <w:p>
      <w:pPr>
        <w:spacing w:line="276" w:lineRule="auto" w:after="120"/>
      </w:pPr>
      <w:r>
        <w:rPr>
          <w:rFonts w:ascii="Calibri" w:hAnsi="Calibri"/>
          <w:color w:val="282828"/>
          <w:sz w:val="22"/>
        </w:rPr>
        <w:t>The total fare distribution illustrates the stratified tier structure established by Indian Railways.</w:t>
      </w:r>
    </w:p>
    <w:p>
      <w:pPr>
        <w:spacing w:before="160" w:after="8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01_fare_distribution_by_class.png"/>
                    <pic:cNvPicPr/>
                  </pic:nvPicPr>
                  <pic:blipFill>
                    <a:blip r:embed="rId9"/>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1: Boxplot distribution of Total Fare (INR ₹) across travel classes.</w:t>
      </w:r>
    </w:p>
    <w:p>
      <w:pPr>
        <w:spacing w:line="276" w:lineRule="auto" w:after="120"/>
      </w:pPr>
      <w:r>
        <w:rPr>
          <w:rFonts w:ascii="Calibri" w:hAnsi="Calibri"/>
          <w:color w:val="282828"/>
          <w:sz w:val="22"/>
        </w:rPr>
        <w:t>AC First Class (1A) commands the highest average fare at ₹1688.5 for typical hauls, extending to a maximum of ₹8375.00. Sleeper (SL) and Second Sitting (2S) maintain tightly bounded, accessible ticket prices.</w:t>
      </w:r>
    </w:p>
    <w:p>
      <w:pPr>
        <w:keepNext/>
        <w:spacing w:before="240" w:after="80"/>
      </w:pPr>
      <w:r>
        <w:rPr>
          <w:rFonts w:ascii="Calibri" w:hAnsi="Calibri"/>
          <w:b/>
          <w:color w:val="46505F"/>
          <w:sz w:val="26"/>
        </w:rPr>
        <w:t>8.2 Fare vs. Distance Trajectory</w:t>
      </w:r>
    </w:p>
    <w:p>
      <w:pPr>
        <w:spacing w:line="276" w:lineRule="auto" w:after="120"/>
      </w:pPr>
      <w:r>
        <w:rPr>
          <w:rFonts w:ascii="Calibri" w:hAnsi="Calibri"/>
          <w:color w:val="282828"/>
          <w:sz w:val="22"/>
        </w:rPr>
        <w:t>Plotting fare against distance highlights the deterministic tariff curves applied by the railway ticketing authority.</w:t>
      </w:r>
    </w:p>
    <w:p>
      <w:pPr>
        <w:spacing w:before="160" w:after="8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02_fare_vs_distance_by_class.png"/>
                    <pic:cNvPicPr/>
                  </pic:nvPicPr>
                  <pic:blipFill>
                    <a:blip r:embed="rId10"/>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2: Scatter plot of Total Fare vs. Journey Distance across travel classes.</w:t>
      </w:r>
    </w:p>
    <w:p>
      <w:pPr>
        <w:spacing w:line="276" w:lineRule="auto" w:after="120"/>
      </w:pPr>
      <w:r>
        <w:rPr>
          <w:rFonts w:ascii="Calibri" w:hAnsi="Calibri"/>
          <w:color w:val="282828"/>
          <w:sz w:val="22"/>
        </w:rPr>
        <w:t>Each class exhibits a distinct slope representing distance-based pricing. The discrete vertical spreads observed at identical distances correspond to superfast levies (₹15 to ₹75) and dynamic pricing surcharges.</w:t>
      </w:r>
    </w:p>
    <w:p>
      <w:pPr>
        <w:keepNext/>
        <w:spacing w:before="240" w:after="80"/>
      </w:pPr>
      <w:r>
        <w:rPr>
          <w:rFonts w:ascii="Calibri" w:hAnsi="Calibri"/>
          <w:b/>
          <w:color w:val="46505F"/>
          <w:sz w:val="26"/>
        </w:rPr>
        <w:t>8.3 Journey Duration Distribution</w:t>
      </w:r>
    </w:p>
    <w:p>
      <w:pPr>
        <w:spacing w:line="276" w:lineRule="auto" w:after="120"/>
      </w:pPr>
      <w:r>
        <w:rPr>
          <w:rFonts w:ascii="Calibri" w:hAnsi="Calibri"/>
          <w:color w:val="282828"/>
          <w:sz w:val="22"/>
        </w:rPr>
        <w:t>Journey durations range from 0.02 hours (short localized shuttles) to 53.75 hours (transcontinental long hauls).</w:t>
      </w:r>
    </w:p>
    <w:p>
      <w:pPr>
        <w:spacing w:before="16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03_journey_duration_distribution.png"/>
                    <pic:cNvPicPr/>
                  </pic:nvPicPr>
                  <pic:blipFill>
                    <a:blip r:embed="rId11"/>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3: Histogram and Kernel Density Estimation of train journey durations.</w:t>
      </w:r>
    </w:p>
    <w:p>
      <w:pPr>
        <w:spacing w:line="276" w:lineRule="auto" w:after="120"/>
      </w:pPr>
      <w:r>
        <w:rPr>
          <w:rFonts w:ascii="Calibri" w:hAnsi="Calibri"/>
          <w:color w:val="282828"/>
          <w:sz w:val="22"/>
        </w:rPr>
        <w:t>The mean journey duration is 10.75 hours, while the median is 7.72 hours. Over 50% of services cater to medium-distance trips completed in under 8 hours.</w:t>
      </w:r>
    </w:p>
    <w:p>
      <w:r>
        <w:br w:type="page"/>
      </w:r>
    </w:p>
    <w:p>
      <w:pPr>
        <w:keepNext/>
        <w:spacing w:before="240" w:after="80"/>
      </w:pPr>
      <w:r>
        <w:rPr>
          <w:rFonts w:ascii="Calibri" w:hAnsi="Calibri"/>
          <w:b/>
          <w:color w:val="46505F"/>
          <w:sz w:val="26"/>
        </w:rPr>
        <w:t>8.4 Seat Availability Status Breakdown</w:t>
      </w:r>
    </w:p>
    <w:p>
      <w:pPr>
        <w:spacing w:line="276" w:lineRule="auto" w:after="120"/>
      </w:pPr>
      <w:r>
        <w:rPr>
          <w:rFonts w:ascii="Calibri" w:hAnsi="Calibri"/>
          <w:color w:val="282828"/>
          <w:sz w:val="22"/>
        </w:rPr>
        <w:t>Seat availability reflects the fundamental balance of passenger demand and train capacity across India.</w:t>
      </w:r>
    </w:p>
    <w:p>
      <w:pPr>
        <w:spacing w:before="16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04_seat_availability_status.png"/>
                    <pic:cNvPicPr/>
                  </pic:nvPicPr>
                  <pic:blipFill>
                    <a:blip r:embed="rId12"/>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4: Frequency and percentage distribution of seat availability statuses.</w:t>
      </w:r>
    </w:p>
    <w:p>
      <w:pPr>
        <w:spacing w:line="276" w:lineRule="auto" w:after="120"/>
      </w:pPr>
      <w:r>
        <w:rPr>
          <w:rFonts w:ascii="Calibri" w:hAnsi="Calibri"/>
          <w:color w:val="282828"/>
          <w:sz w:val="22"/>
        </w:rPr>
        <w:t>Of the 326,643 evaluated route snapshots, **205,951 (63.1%)** are in Waitlist (WL) status. Only **102,149 (31.3%)** offer confirmed available seats. RAC accounts for 4,603 (1.4%), while Regret and Not Available total 11,509 (3.5%).</w:t>
      </w:r>
    </w:p>
    <w:p>
      <w:pPr>
        <w:keepNext/>
        <w:spacing w:before="240" w:after="80"/>
      </w:pPr>
      <w:r>
        <w:rPr>
          <w:rFonts w:ascii="Calibri" w:hAnsi="Calibri"/>
          <w:b/>
          <w:color w:val="46505F"/>
          <w:sz w:val="26"/>
        </w:rPr>
        <w:t>8.5 Terminal Station Concentration</w:t>
      </w:r>
    </w:p>
    <w:p>
      <w:pPr>
        <w:spacing w:line="276" w:lineRule="auto" w:after="120"/>
      </w:pPr>
      <w:r>
        <w:rPr>
          <w:rFonts w:ascii="Calibri" w:hAnsi="Calibri"/>
          <w:color w:val="282828"/>
          <w:sz w:val="22"/>
        </w:rPr>
        <w:t>Railway operations exhibit heavy geographic concentration around metropolitan junctions and primary railway division headquarters.</w:t>
      </w:r>
    </w:p>
    <w:p>
      <w:pPr>
        <w:spacing w:before="160" w:after="8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05_top_origin_stations.png"/>
                    <pic:cNvPicPr/>
                  </pic:nvPicPr>
                  <pic:blipFill>
                    <a:blip r:embed="rId13"/>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5: Top 12 origin departure stations by booking service count.</w:t>
      </w:r>
    </w:p>
    <w:p>
      <w:pPr>
        <w:spacing w:before="160" w:after="80"/>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06_top_destination_stations.png"/>
                    <pic:cNvPicPr/>
                  </pic:nvPicPr>
                  <pic:blipFill>
                    <a:blip r:embed="rId14"/>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6: Top 12 destination arrival stations by booking service count.</w:t>
      </w:r>
    </w:p>
    <w:p>
      <w:pPr>
        <w:spacing w:line="276" w:lineRule="auto" w:after="120"/>
      </w:pPr>
      <w:r>
        <w:rPr>
          <w:rFonts w:ascii="Calibri" w:hAnsi="Calibri"/>
          <w:color w:val="282828"/>
          <w:sz w:val="22"/>
        </w:rPr>
        <w:t>High-density origin and destination nodes include NDLS (New Delhi), HWH (Howrah), BRC (Vadodara), BJU (Barauni), and CNB (Kanpur Central). These major junction stations serve as key transshipment gateways linking Northern, Eastern, and Western railway corridors.</w:t>
      </w:r>
    </w:p>
    <w:p>
      <w:r>
        <w:br w:type="page"/>
      </w:r>
    </w:p>
    <w:p>
      <w:pPr>
        <w:keepNext/>
        <w:spacing w:before="240" w:after="80"/>
      </w:pPr>
      <w:r>
        <w:rPr>
          <w:rFonts w:ascii="Calibri" w:hAnsi="Calibri"/>
          <w:b/>
          <w:color w:val="46505F"/>
          <w:sz w:val="26"/>
        </w:rPr>
        <w:t>8.6 Tariff Yield (Fare per KM) and Class Availability</w:t>
      </w:r>
    </w:p>
    <w:p>
      <w:pPr>
        <w:spacing w:line="276" w:lineRule="auto" w:after="120"/>
      </w:pPr>
      <w:r>
        <w:rPr>
          <w:rFonts w:ascii="Calibri" w:hAnsi="Calibri"/>
          <w:color w:val="282828"/>
          <w:sz w:val="22"/>
        </w:rPr>
        <w:t>Analyzing the average fare per kilometer reveals the economic cross-subsidization embedded in railway passenger tariffs.</w:t>
      </w:r>
    </w:p>
    <w:p>
      <w:pPr>
        <w:spacing w:before="160" w:after="80"/>
        <w:jc w:val="center"/>
      </w:pPr>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07_fare_per_km_by_class.png"/>
                    <pic:cNvPicPr/>
                  </pic:nvPicPr>
                  <pic:blipFill>
                    <a:blip r:embed="rId15"/>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7: Average tariff density (INR ₹ per kilometer) by travel class.</w:t>
      </w:r>
    </w:p>
    <w:p>
      <w:pPr>
        <w:spacing w:before="160" w:after="80"/>
        <w:jc w:val="center"/>
      </w:pPr>
      <w:r>
        <w:drawing>
          <wp:inline xmlns:a="http://schemas.openxmlformats.org/drawingml/2006/main" xmlns:pic="http://schemas.openxmlformats.org/drawingml/2006/picture">
            <wp:extent cx="5303520" cy="3182112"/>
            <wp:docPr id="8" name="Picture 8"/>
            <wp:cNvGraphicFramePr>
              <a:graphicFrameLocks noChangeAspect="1"/>
            </wp:cNvGraphicFramePr>
            <a:graphic>
              <a:graphicData uri="http://schemas.openxmlformats.org/drawingml/2006/picture">
                <pic:pic>
                  <pic:nvPicPr>
                    <pic:cNvPr id="0" name="08_availability_rate_by_class.png"/>
                    <pic:cNvPicPr/>
                  </pic:nvPicPr>
                  <pic:blipFill>
                    <a:blip r:embed="rId16"/>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8: Seat availability confirmation probability (%) across travel classes.</w:t>
      </w:r>
    </w:p>
    <w:tbl>
      <w:tblPr>
        <w:tblW w:type="auto" w:w="0"/>
        <w:jc w:val="center"/>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50" w:type="dxa"/>
              <w:right w:w="150" w:type="dxa"/>
            </w:tcMar>
          </w:tcPr>
          <w:p>
            <w:pPr>
              <w:jc w:val="left"/>
            </w:pPr>
            <w:r>
              <w:rPr>
                <w:rFonts w:ascii="Calibri" w:hAnsi="Calibri"/>
                <w:b/>
                <w:color w:val="FFFFFF"/>
                <w:sz w:val="20"/>
              </w:rPr>
              <w:t>Travel Class</w:t>
            </w:r>
          </w:p>
        </w:tc>
        <w:tc>
          <w:tcPr>
            <w:tcW w:type="dxa" w:w="1872"/>
            <w:shd w:fill="1B365D"/>
            <w:tcMar>
              <w:top w:w="120" w:type="dxa"/>
              <w:bottom w:w="120" w:type="dxa"/>
              <w:left w:w="150" w:type="dxa"/>
              <w:right w:w="150" w:type="dxa"/>
            </w:tcMar>
          </w:tcPr>
          <w:p>
            <w:pPr>
              <w:jc w:val="left"/>
            </w:pPr>
            <w:r>
              <w:rPr>
                <w:rFonts w:ascii="Calibri" w:hAnsi="Calibri"/>
                <w:b/>
                <w:color w:val="FFFFFF"/>
                <w:sz w:val="20"/>
              </w:rPr>
              <w:t>Mean Fare / KM</w:t>
            </w:r>
          </w:p>
        </w:tc>
        <w:tc>
          <w:tcPr>
            <w:tcW w:type="dxa" w:w="2016"/>
            <w:shd w:fill="1B365D"/>
            <w:tcMar>
              <w:top w:w="120" w:type="dxa"/>
              <w:bottom w:w="120" w:type="dxa"/>
              <w:left w:w="150" w:type="dxa"/>
              <w:right w:w="150" w:type="dxa"/>
            </w:tcMar>
          </w:tcPr>
          <w:p>
            <w:pPr>
              <w:jc w:val="left"/>
            </w:pPr>
            <w:r>
              <w:rPr>
                <w:rFonts w:ascii="Calibri" w:hAnsi="Calibri"/>
                <w:b/>
                <w:color w:val="FFFFFF"/>
                <w:sz w:val="20"/>
              </w:rPr>
              <w:t>Availability Rate</w:t>
            </w:r>
          </w:p>
        </w:tc>
        <w:tc>
          <w:tcPr>
            <w:tcW w:type="dxa" w:w="2448"/>
            <w:shd w:fill="1B365D"/>
            <w:tcMar>
              <w:top w:w="120" w:type="dxa"/>
              <w:bottom w:w="120" w:type="dxa"/>
              <w:left w:w="150" w:type="dxa"/>
              <w:right w:w="150" w:type="dxa"/>
            </w:tcMar>
          </w:tcPr>
          <w:p>
            <w:pPr>
              <w:jc w:val="left"/>
            </w:pPr>
            <w:r>
              <w:rPr>
                <w:rFonts w:ascii="Calibri" w:hAnsi="Calibri"/>
                <w:b/>
                <w:color w:val="FFFFFF"/>
                <w:sz w:val="20"/>
              </w:rPr>
              <w:t>Total Records</w:t>
            </w:r>
          </w:p>
        </w:tc>
      </w:tr>
      <w:tr>
        <w:tc>
          <w:tcPr>
            <w:tcW w:type="dxa" w:w="2592"/>
            <w:shd w:fill="FFFFFF"/>
            <w:tcMar>
              <w:top w:w="80" w:type="dxa"/>
              <w:bottom w:w="80" w:type="dxa"/>
              <w:left w:w="150" w:type="dxa"/>
              <w:right w:w="150" w:type="dxa"/>
            </w:tcMar>
          </w:tcPr>
          <w:p>
            <w:pPr>
              <w:jc w:val="left"/>
            </w:pPr>
            <w:r>
              <w:rPr>
                <w:rFonts w:ascii="Calibri" w:hAnsi="Calibri"/>
                <w:color w:val="282828"/>
                <w:sz w:val="19"/>
              </w:rPr>
              <w:t>AC First Class (1A)</w:t>
            </w:r>
          </w:p>
        </w:tc>
        <w:tc>
          <w:tcPr>
            <w:tcW w:type="dxa" w:w="1872"/>
            <w:shd w:fill="FFFFFF"/>
            <w:tcMar>
              <w:top w:w="80" w:type="dxa"/>
              <w:bottom w:w="80" w:type="dxa"/>
              <w:left w:w="150" w:type="dxa"/>
              <w:right w:w="150" w:type="dxa"/>
            </w:tcMar>
          </w:tcPr>
          <w:p>
            <w:pPr>
              <w:jc w:val="left"/>
            </w:pPr>
            <w:r>
              <w:rPr>
                <w:rFonts w:ascii="Calibri" w:hAnsi="Calibri"/>
                <w:color w:val="282828"/>
                <w:sz w:val="19"/>
              </w:rPr>
              <w:t>₹8.44</w:t>
            </w:r>
          </w:p>
        </w:tc>
        <w:tc>
          <w:tcPr>
            <w:tcW w:type="dxa" w:w="2016"/>
            <w:shd w:fill="FFFFFF"/>
            <w:tcMar>
              <w:top w:w="80" w:type="dxa"/>
              <w:bottom w:w="80" w:type="dxa"/>
              <w:left w:w="150" w:type="dxa"/>
              <w:right w:w="150" w:type="dxa"/>
            </w:tcMar>
          </w:tcPr>
          <w:p>
            <w:pPr>
              <w:jc w:val="left"/>
            </w:pPr>
            <w:r>
              <w:rPr>
                <w:rFonts w:ascii="Calibri" w:hAnsi="Calibri"/>
                <w:color w:val="282828"/>
                <w:sz w:val="19"/>
              </w:rPr>
              <w:t>28.1%</w:t>
            </w:r>
          </w:p>
        </w:tc>
        <w:tc>
          <w:tcPr>
            <w:tcW w:type="dxa" w:w="2448"/>
            <w:shd w:fill="FFFFFF"/>
            <w:tcMar>
              <w:top w:w="80" w:type="dxa"/>
              <w:bottom w:w="80" w:type="dxa"/>
              <w:left w:w="150" w:type="dxa"/>
              <w:right w:w="150" w:type="dxa"/>
            </w:tcMar>
          </w:tcPr>
          <w:p>
            <w:pPr>
              <w:jc w:val="left"/>
            </w:pPr>
            <w:r>
              <w:rPr>
                <w:rFonts w:ascii="Calibri" w:hAnsi="Calibri"/>
                <w:color w:val="282828"/>
                <w:sz w:val="19"/>
              </w:rPr>
              <w:t>37,151</w:t>
            </w:r>
          </w:p>
        </w:tc>
      </w:tr>
      <w:tr>
        <w:tc>
          <w:tcPr>
            <w:tcW w:type="dxa" w:w="2592"/>
            <w:shd w:fill="F7F9FB"/>
            <w:tcMar>
              <w:top w:w="80" w:type="dxa"/>
              <w:bottom w:w="80" w:type="dxa"/>
              <w:left w:w="150" w:type="dxa"/>
              <w:right w:w="150" w:type="dxa"/>
            </w:tcMar>
          </w:tcPr>
          <w:p>
            <w:pPr>
              <w:jc w:val="left"/>
            </w:pPr>
            <w:r>
              <w:rPr>
                <w:rFonts w:ascii="Calibri" w:hAnsi="Calibri"/>
                <w:color w:val="282828"/>
                <w:sz w:val="19"/>
              </w:rPr>
              <w:t>AC 2-Tier (2A)</w:t>
            </w:r>
          </w:p>
        </w:tc>
        <w:tc>
          <w:tcPr>
            <w:tcW w:type="dxa" w:w="1872"/>
            <w:shd w:fill="F7F9FB"/>
            <w:tcMar>
              <w:top w:w="80" w:type="dxa"/>
              <w:bottom w:w="80" w:type="dxa"/>
              <w:left w:w="150" w:type="dxa"/>
              <w:right w:w="150" w:type="dxa"/>
            </w:tcMar>
          </w:tcPr>
          <w:p>
            <w:pPr>
              <w:jc w:val="left"/>
            </w:pPr>
            <w:r>
              <w:rPr>
                <w:rFonts w:ascii="Calibri" w:hAnsi="Calibri"/>
                <w:color w:val="282828"/>
                <w:sz w:val="19"/>
              </w:rPr>
              <w:t>₹5.15</w:t>
            </w:r>
          </w:p>
        </w:tc>
        <w:tc>
          <w:tcPr>
            <w:tcW w:type="dxa" w:w="2016"/>
            <w:shd w:fill="F7F9FB"/>
            <w:tcMar>
              <w:top w:w="80" w:type="dxa"/>
              <w:bottom w:w="80" w:type="dxa"/>
              <w:left w:w="150" w:type="dxa"/>
              <w:right w:w="150" w:type="dxa"/>
            </w:tcMar>
          </w:tcPr>
          <w:p>
            <w:pPr>
              <w:jc w:val="left"/>
            </w:pPr>
            <w:r>
              <w:rPr>
                <w:rFonts w:ascii="Calibri" w:hAnsi="Calibri"/>
                <w:color w:val="282828"/>
                <w:sz w:val="19"/>
              </w:rPr>
              <w:t>27.0%</w:t>
            </w:r>
          </w:p>
        </w:tc>
        <w:tc>
          <w:tcPr>
            <w:tcW w:type="dxa" w:w="2448"/>
            <w:shd w:fill="F7F9FB"/>
            <w:tcMar>
              <w:top w:w="80" w:type="dxa"/>
              <w:bottom w:w="80" w:type="dxa"/>
              <w:left w:w="150" w:type="dxa"/>
              <w:right w:w="150" w:type="dxa"/>
            </w:tcMar>
          </w:tcPr>
          <w:p>
            <w:pPr>
              <w:jc w:val="left"/>
            </w:pPr>
            <w:r>
              <w:rPr>
                <w:rFonts w:ascii="Calibri" w:hAnsi="Calibri"/>
                <w:color w:val="282828"/>
                <w:sz w:val="19"/>
              </w:rPr>
              <w:t>84,019</w:t>
            </w:r>
          </w:p>
        </w:tc>
      </w:tr>
      <w:tr>
        <w:tc>
          <w:tcPr>
            <w:tcW w:type="dxa" w:w="2592"/>
            <w:shd w:fill="FFFFFF"/>
            <w:tcMar>
              <w:top w:w="80" w:type="dxa"/>
              <w:bottom w:w="80" w:type="dxa"/>
              <w:left w:w="150" w:type="dxa"/>
              <w:right w:w="150" w:type="dxa"/>
            </w:tcMar>
          </w:tcPr>
          <w:p>
            <w:pPr>
              <w:jc w:val="left"/>
            </w:pPr>
            <w:r>
              <w:rPr>
                <w:rFonts w:ascii="Calibri" w:hAnsi="Calibri"/>
                <w:color w:val="282828"/>
                <w:sz w:val="19"/>
              </w:rPr>
              <w:t>AC 3-Tier (3A)</w:t>
            </w:r>
          </w:p>
        </w:tc>
        <w:tc>
          <w:tcPr>
            <w:tcW w:type="dxa" w:w="1872"/>
            <w:shd w:fill="FFFFFF"/>
            <w:tcMar>
              <w:top w:w="80" w:type="dxa"/>
              <w:bottom w:w="80" w:type="dxa"/>
              <w:left w:w="150" w:type="dxa"/>
              <w:right w:w="150" w:type="dxa"/>
            </w:tcMar>
          </w:tcPr>
          <w:p>
            <w:pPr>
              <w:jc w:val="left"/>
            </w:pPr>
            <w:r>
              <w:rPr>
                <w:rFonts w:ascii="Calibri" w:hAnsi="Calibri"/>
                <w:color w:val="282828"/>
                <w:sz w:val="19"/>
              </w:rPr>
              <w:t>₹3.94</w:t>
            </w:r>
          </w:p>
        </w:tc>
        <w:tc>
          <w:tcPr>
            <w:tcW w:type="dxa" w:w="2016"/>
            <w:shd w:fill="FFFFFF"/>
            <w:tcMar>
              <w:top w:w="80" w:type="dxa"/>
              <w:bottom w:w="80" w:type="dxa"/>
              <w:left w:w="150" w:type="dxa"/>
              <w:right w:w="150" w:type="dxa"/>
            </w:tcMar>
          </w:tcPr>
          <w:p>
            <w:pPr>
              <w:jc w:val="left"/>
            </w:pPr>
            <w:r>
              <w:rPr>
                <w:rFonts w:ascii="Calibri" w:hAnsi="Calibri"/>
                <w:color w:val="282828"/>
                <w:sz w:val="19"/>
              </w:rPr>
              <w:t>30.6%</w:t>
            </w:r>
          </w:p>
        </w:tc>
        <w:tc>
          <w:tcPr>
            <w:tcW w:type="dxa" w:w="2448"/>
            <w:shd w:fill="FFFFFF"/>
            <w:tcMar>
              <w:top w:w="80" w:type="dxa"/>
              <w:bottom w:w="80" w:type="dxa"/>
              <w:left w:w="150" w:type="dxa"/>
              <w:right w:w="150" w:type="dxa"/>
            </w:tcMar>
          </w:tcPr>
          <w:p>
            <w:pPr>
              <w:jc w:val="left"/>
            </w:pPr>
            <w:r>
              <w:rPr>
                <w:rFonts w:ascii="Calibri" w:hAnsi="Calibri"/>
                <w:color w:val="282828"/>
                <w:sz w:val="19"/>
              </w:rPr>
              <w:t>88,438</w:t>
            </w:r>
          </w:p>
        </w:tc>
      </w:tr>
      <w:tr>
        <w:tc>
          <w:tcPr>
            <w:tcW w:type="dxa" w:w="2592"/>
            <w:shd w:fill="F7F9FB"/>
            <w:tcMar>
              <w:top w:w="80" w:type="dxa"/>
              <w:bottom w:w="80" w:type="dxa"/>
              <w:left w:w="150" w:type="dxa"/>
              <w:right w:w="150" w:type="dxa"/>
            </w:tcMar>
          </w:tcPr>
          <w:p>
            <w:pPr>
              <w:jc w:val="left"/>
            </w:pPr>
            <w:r>
              <w:rPr>
                <w:rFonts w:ascii="Calibri" w:hAnsi="Calibri"/>
                <w:color w:val="282828"/>
                <w:sz w:val="19"/>
              </w:rPr>
              <w:t>AC Chair Car (CC)</w:t>
            </w:r>
          </w:p>
        </w:tc>
        <w:tc>
          <w:tcPr>
            <w:tcW w:type="dxa" w:w="1872"/>
            <w:shd w:fill="F7F9FB"/>
            <w:tcMar>
              <w:top w:w="80" w:type="dxa"/>
              <w:bottom w:w="80" w:type="dxa"/>
              <w:left w:w="150" w:type="dxa"/>
              <w:right w:w="150" w:type="dxa"/>
            </w:tcMar>
          </w:tcPr>
          <w:p>
            <w:pPr>
              <w:jc w:val="left"/>
            </w:pPr>
            <w:r>
              <w:rPr>
                <w:rFonts w:ascii="Calibri" w:hAnsi="Calibri"/>
                <w:color w:val="282828"/>
                <w:sz w:val="19"/>
              </w:rPr>
              <w:t>₹5.30</w:t>
            </w:r>
          </w:p>
        </w:tc>
        <w:tc>
          <w:tcPr>
            <w:tcW w:type="dxa" w:w="2016"/>
            <w:shd w:fill="F7F9FB"/>
            <w:tcMar>
              <w:top w:w="80" w:type="dxa"/>
              <w:bottom w:w="80" w:type="dxa"/>
              <w:left w:w="150" w:type="dxa"/>
              <w:right w:w="150" w:type="dxa"/>
            </w:tcMar>
          </w:tcPr>
          <w:p>
            <w:pPr>
              <w:jc w:val="left"/>
            </w:pPr>
            <w:r>
              <w:rPr>
                <w:rFonts w:ascii="Calibri" w:hAnsi="Calibri"/>
                <w:color w:val="282828"/>
                <w:sz w:val="19"/>
              </w:rPr>
              <w:t>68.5%</w:t>
            </w:r>
          </w:p>
        </w:tc>
        <w:tc>
          <w:tcPr>
            <w:tcW w:type="dxa" w:w="2448"/>
            <w:shd w:fill="F7F9FB"/>
            <w:tcMar>
              <w:top w:w="80" w:type="dxa"/>
              <w:bottom w:w="80" w:type="dxa"/>
              <w:left w:w="150" w:type="dxa"/>
              <w:right w:w="150" w:type="dxa"/>
            </w:tcMar>
          </w:tcPr>
          <w:p>
            <w:pPr>
              <w:jc w:val="left"/>
            </w:pPr>
            <w:r>
              <w:rPr>
                <w:rFonts w:ascii="Calibri" w:hAnsi="Calibri"/>
                <w:color w:val="282828"/>
                <w:sz w:val="19"/>
              </w:rPr>
              <w:t>10,136</w:t>
            </w:r>
          </w:p>
        </w:tc>
      </w:tr>
      <w:tr>
        <w:tc>
          <w:tcPr>
            <w:tcW w:type="dxa" w:w="2592"/>
            <w:shd w:fill="FFFFFF"/>
            <w:tcMar>
              <w:top w:w="80" w:type="dxa"/>
              <w:bottom w:w="80" w:type="dxa"/>
              <w:left w:w="150" w:type="dxa"/>
              <w:right w:w="150" w:type="dxa"/>
            </w:tcMar>
          </w:tcPr>
          <w:p>
            <w:pPr>
              <w:jc w:val="left"/>
            </w:pPr>
            <w:r>
              <w:rPr>
                <w:rFonts w:ascii="Calibri" w:hAnsi="Calibri"/>
                <w:color w:val="282828"/>
                <w:sz w:val="19"/>
              </w:rPr>
              <w:t>Sleeper Class (SL)</w:t>
            </w:r>
          </w:p>
        </w:tc>
        <w:tc>
          <w:tcPr>
            <w:tcW w:type="dxa" w:w="1872"/>
            <w:shd w:fill="FFFFFF"/>
            <w:tcMar>
              <w:top w:w="80" w:type="dxa"/>
              <w:bottom w:w="80" w:type="dxa"/>
              <w:left w:w="150" w:type="dxa"/>
              <w:right w:w="150" w:type="dxa"/>
            </w:tcMar>
          </w:tcPr>
          <w:p>
            <w:pPr>
              <w:jc w:val="left"/>
            </w:pPr>
            <w:r>
              <w:rPr>
                <w:rFonts w:ascii="Calibri" w:hAnsi="Calibri"/>
                <w:color w:val="282828"/>
                <w:sz w:val="19"/>
              </w:rPr>
              <w:t>₹1.51</w:t>
            </w:r>
          </w:p>
        </w:tc>
        <w:tc>
          <w:tcPr>
            <w:tcW w:type="dxa" w:w="2016"/>
            <w:shd w:fill="FFFFFF"/>
            <w:tcMar>
              <w:top w:w="80" w:type="dxa"/>
              <w:bottom w:w="80" w:type="dxa"/>
              <w:left w:w="150" w:type="dxa"/>
              <w:right w:w="150" w:type="dxa"/>
            </w:tcMar>
          </w:tcPr>
          <w:p>
            <w:pPr>
              <w:jc w:val="left"/>
            </w:pPr>
            <w:r>
              <w:rPr>
                <w:rFonts w:ascii="Calibri" w:hAnsi="Calibri"/>
                <w:color w:val="282828"/>
                <w:sz w:val="19"/>
              </w:rPr>
              <w:t>28.4%</w:t>
            </w:r>
          </w:p>
        </w:tc>
        <w:tc>
          <w:tcPr>
            <w:tcW w:type="dxa" w:w="2448"/>
            <w:shd w:fill="FFFFFF"/>
            <w:tcMar>
              <w:top w:w="80" w:type="dxa"/>
              <w:bottom w:w="80" w:type="dxa"/>
              <w:left w:w="150" w:type="dxa"/>
              <w:right w:w="150" w:type="dxa"/>
            </w:tcMar>
          </w:tcPr>
          <w:p>
            <w:pPr>
              <w:jc w:val="left"/>
            </w:pPr>
            <w:r>
              <w:rPr>
                <w:rFonts w:ascii="Calibri" w:hAnsi="Calibri"/>
                <w:color w:val="282828"/>
                <w:sz w:val="19"/>
              </w:rPr>
              <w:t>97,501</w:t>
            </w:r>
          </w:p>
        </w:tc>
      </w:tr>
      <w:tr>
        <w:tc>
          <w:tcPr>
            <w:tcW w:type="dxa" w:w="2592"/>
            <w:shd w:fill="F7F9FB"/>
            <w:tcMar>
              <w:top w:w="80" w:type="dxa"/>
              <w:bottom w:w="80" w:type="dxa"/>
              <w:left w:w="150" w:type="dxa"/>
              <w:right w:w="150" w:type="dxa"/>
            </w:tcMar>
          </w:tcPr>
          <w:p>
            <w:pPr>
              <w:jc w:val="left"/>
            </w:pPr>
            <w:r>
              <w:rPr>
                <w:rFonts w:ascii="Calibri" w:hAnsi="Calibri"/>
                <w:color w:val="282828"/>
                <w:sz w:val="19"/>
              </w:rPr>
              <w:t>Second Sitting (2S)</w:t>
            </w:r>
          </w:p>
        </w:tc>
        <w:tc>
          <w:tcPr>
            <w:tcW w:type="dxa" w:w="1872"/>
            <w:shd w:fill="F7F9FB"/>
            <w:tcMar>
              <w:top w:w="80" w:type="dxa"/>
              <w:bottom w:w="80" w:type="dxa"/>
              <w:left w:w="150" w:type="dxa"/>
              <w:right w:w="150" w:type="dxa"/>
            </w:tcMar>
          </w:tcPr>
          <w:p>
            <w:pPr>
              <w:jc w:val="left"/>
            </w:pPr>
            <w:r>
              <w:rPr>
                <w:rFonts w:ascii="Calibri" w:hAnsi="Calibri"/>
                <w:color w:val="282828"/>
                <w:sz w:val="19"/>
              </w:rPr>
              <w:t>₹1.29</w:t>
            </w:r>
          </w:p>
        </w:tc>
        <w:tc>
          <w:tcPr>
            <w:tcW w:type="dxa" w:w="2016"/>
            <w:shd w:fill="F7F9FB"/>
            <w:tcMar>
              <w:top w:w="80" w:type="dxa"/>
              <w:bottom w:w="80" w:type="dxa"/>
              <w:left w:w="150" w:type="dxa"/>
              <w:right w:w="150" w:type="dxa"/>
            </w:tcMar>
          </w:tcPr>
          <w:p>
            <w:pPr>
              <w:jc w:val="left"/>
            </w:pPr>
            <w:r>
              <w:rPr>
                <w:rFonts w:ascii="Calibri" w:hAnsi="Calibri"/>
                <w:color w:val="282828"/>
                <w:sz w:val="19"/>
              </w:rPr>
              <w:t>78.0%</w:t>
            </w:r>
          </w:p>
        </w:tc>
        <w:tc>
          <w:tcPr>
            <w:tcW w:type="dxa" w:w="2448"/>
            <w:shd w:fill="F7F9FB"/>
            <w:tcMar>
              <w:top w:w="80" w:type="dxa"/>
              <w:bottom w:w="80" w:type="dxa"/>
              <w:left w:w="150" w:type="dxa"/>
              <w:right w:w="150" w:type="dxa"/>
            </w:tcMar>
          </w:tcPr>
          <w:p>
            <w:pPr>
              <w:jc w:val="left"/>
            </w:pPr>
            <w:r>
              <w:rPr>
                <w:rFonts w:ascii="Calibri" w:hAnsi="Calibri"/>
                <w:color w:val="282828"/>
                <w:sz w:val="19"/>
              </w:rPr>
              <w:t>9,398</w:t>
            </w:r>
          </w:p>
        </w:tc>
      </w:tr>
    </w:tbl>
    <w:p>
      <w:pPr>
        <w:spacing w:after="120"/>
      </w:pPr>
    </w:p>
    <w:p>
      <w:pPr>
        <w:keepNext/>
        <w:spacing w:before="240" w:after="80"/>
      </w:pPr>
      <w:r>
        <w:rPr>
          <w:rFonts w:ascii="Calibri" w:hAnsi="Calibri"/>
          <w:b/>
          <w:color w:val="46505F"/>
          <w:sz w:val="26"/>
        </w:rPr>
        <w:t>8.7 Train Service Composition &amp; Fare Breakdown</w:t>
      </w:r>
    </w:p>
    <w:p>
      <w:pPr>
        <w:spacing w:line="276" w:lineRule="auto" w:after="120"/>
      </w:pPr>
      <w:r>
        <w:rPr>
          <w:rFonts w:ascii="Calibri" w:hAnsi="Calibri"/>
          <w:color w:val="282828"/>
          <w:sz w:val="22"/>
        </w:rPr>
        <w:t>Evaluating fleet composition and pricing structures reveals operational priorities.</w:t>
      </w:r>
    </w:p>
    <w:p>
      <w:pPr>
        <w:spacing w:before="160" w:after="80"/>
        <w:jc w:val="center"/>
      </w:pPr>
      <w:r>
        <w:drawing>
          <wp:inline xmlns:a="http://schemas.openxmlformats.org/drawingml/2006/main" xmlns:pic="http://schemas.openxmlformats.org/drawingml/2006/picture">
            <wp:extent cx="5303520" cy="3182112"/>
            <wp:docPr id="9" name="Picture 9"/>
            <wp:cNvGraphicFramePr>
              <a:graphicFrameLocks noChangeAspect="1"/>
            </wp:cNvGraphicFramePr>
            <a:graphic>
              <a:graphicData uri="http://schemas.openxmlformats.org/drawingml/2006/picture">
                <pic:pic>
                  <pic:nvPicPr>
                    <pic:cNvPr id="0" name="09_train_types_distribution.png"/>
                    <pic:cNvPicPr/>
                  </pic:nvPicPr>
                  <pic:blipFill>
                    <a:blip r:embed="rId17"/>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9: Composition of railway fleet by train service category.</w:t>
      </w:r>
    </w:p>
    <w:p>
      <w:pPr>
        <w:spacing w:before="160" w:after="80"/>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11_fare_components_breakdown.png"/>
                    <pic:cNvPicPr/>
                  </pic:nvPicPr>
                  <pic:blipFill>
                    <a:blip r:embed="rId18"/>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10: Contribution of pricing components to total passenger ticket fare.</w:t>
      </w:r>
    </w:p>
    <w:p>
      <w:pPr>
        <w:spacing w:line="276" w:lineRule="auto" w:after="120"/>
      </w:pPr>
      <w:r>
        <w:rPr>
          <w:rFonts w:ascii="Calibri" w:hAnsi="Calibri"/>
          <w:color w:val="282828"/>
          <w:sz w:val="22"/>
        </w:rPr>
        <w:t>Express trains account for **242,465 (74.2%)** of all service records, followed by Superfast services (28,873, 8.8%). In terms of revenue composition, Base Fare averages ₹890.1 (89.0% of total fare), while Service Tax (₹42.8), Reservation Charges (₹38.2), and Superfast Surcharges (₹20.1) make up the remainder.</w:t>
      </w:r>
    </w:p>
    <w:p>
      <w:r>
        <w:br w:type="page"/>
      </w:r>
    </w:p>
    <w:p>
      <w:pPr>
        <w:keepNext/>
        <w:spacing w:before="360" w:after="120"/>
      </w:pPr>
      <w:r>
        <w:rPr>
          <w:rFonts w:ascii="Calibri" w:hAnsi="Calibri"/>
          <w:b/>
          <w:color w:val="1B365D"/>
          <w:sz w:val="32"/>
        </w:rPr>
        <w:t>9. Correlation &amp; Advanced Analytics</w:t>
      </w:r>
    </w:p>
    <w:p>
      <w:pPr>
        <w:spacing w:line="276" w:lineRule="auto" w:after="120"/>
      </w:pPr>
      <w:r>
        <w:rPr>
          <w:rFonts w:ascii="Calibri" w:hAnsi="Calibri"/>
          <w:color w:val="282828"/>
          <w:sz w:val="22"/>
        </w:rPr>
        <w:t>To examine multi-variable linear dependencies, Pearson correlation coefficients were computed across all numerical operational features.</w:t>
      </w:r>
    </w:p>
    <w:p>
      <w:pPr>
        <w:spacing w:before="160" w:after="80"/>
        <w:jc w:val="center"/>
      </w:pPr>
      <w:r>
        <w:drawing>
          <wp:inline xmlns:a="http://schemas.openxmlformats.org/drawingml/2006/main" xmlns:pic="http://schemas.openxmlformats.org/drawingml/2006/picture">
            <wp:extent cx="5303520" cy="4124960"/>
            <wp:docPr id="11" name="Picture 11"/>
            <wp:cNvGraphicFramePr>
              <a:graphicFrameLocks noChangeAspect="1"/>
            </wp:cNvGraphicFramePr>
            <a:graphic>
              <a:graphicData uri="http://schemas.openxmlformats.org/drawingml/2006/picture">
                <pic:pic>
                  <pic:nvPicPr>
                    <pic:cNvPr id="0" name="12_correlation_matrix.png"/>
                    <pic:cNvPicPr/>
                  </pic:nvPicPr>
                  <pic:blipFill>
                    <a:blip r:embed="rId19"/>
                    <a:stretch>
                      <a:fillRect/>
                    </a:stretch>
                  </pic:blipFill>
                  <pic:spPr>
                    <a:xfrm>
                      <a:off x="0" y="0"/>
                      <a:ext cx="5303520" cy="4124960"/>
                    </a:xfrm>
                    <a:prstGeom prst="rect"/>
                  </pic:spPr>
                </pic:pic>
              </a:graphicData>
            </a:graphic>
          </wp:inline>
        </w:drawing>
      </w:r>
    </w:p>
    <w:p>
      <w:pPr>
        <w:spacing w:after="200"/>
        <w:jc w:val="center"/>
      </w:pPr>
      <w:r>
        <w:rPr>
          <w:rFonts w:ascii="Calibri" w:hAnsi="Calibri"/>
          <w:i/>
          <w:color w:val="46505F"/>
          <w:sz w:val="19"/>
        </w:rPr>
        <w:t>Figure 11: Pearson correlation matrix of operational, schedule, and pricing features.</w:t>
      </w:r>
    </w:p>
    <w:tbl>
      <w:tblPr>
        <w:tblW w:type="auto" w:w="0"/>
        <w:jc w:val="center"/>
        <w:tblLook w:firstColumn="1" w:firstRow="1" w:lastColumn="0" w:lastRow="0" w:noHBand="0" w:noVBand="1" w:val="04A0"/>
      </w:tblPr>
      <w:tblGrid>
        <w:gridCol w:w="3120"/>
        <w:gridCol w:w="3120"/>
        <w:gridCol w:w="3120"/>
      </w:tblGrid>
      <w:tr>
        <w:tc>
          <w:tcPr>
            <w:tcW w:type="dxa" w:w="3312"/>
            <w:shd w:fill="1B365D"/>
            <w:tcMar>
              <w:top w:w="120" w:type="dxa"/>
              <w:bottom w:w="120" w:type="dxa"/>
              <w:left w:w="150" w:type="dxa"/>
              <w:right w:w="150" w:type="dxa"/>
            </w:tcMar>
          </w:tcPr>
          <w:p>
            <w:pPr>
              <w:jc w:val="left"/>
            </w:pPr>
            <w:r>
              <w:rPr>
                <w:rFonts w:ascii="Calibri" w:hAnsi="Calibri"/>
                <w:b/>
                <w:color w:val="FFFFFF"/>
                <w:sz w:val="20"/>
              </w:rPr>
              <w:t>Feature Pair</w:t>
            </w:r>
          </w:p>
        </w:tc>
        <w:tc>
          <w:tcPr>
            <w:tcW w:type="dxa" w:w="1440"/>
            <w:shd w:fill="1B365D"/>
            <w:tcMar>
              <w:top w:w="120" w:type="dxa"/>
              <w:bottom w:w="120" w:type="dxa"/>
              <w:left w:w="150" w:type="dxa"/>
              <w:right w:w="150" w:type="dxa"/>
            </w:tcMar>
          </w:tcPr>
          <w:p>
            <w:pPr>
              <w:jc w:val="left"/>
            </w:pPr>
            <w:r>
              <w:rPr>
                <w:rFonts w:ascii="Calibri" w:hAnsi="Calibri"/>
                <w:b/>
                <w:color w:val="FFFFFF"/>
                <w:sz w:val="20"/>
              </w:rPr>
              <w:t>Pearson r</w:t>
            </w:r>
          </w:p>
        </w:tc>
        <w:tc>
          <w:tcPr>
            <w:tcW w:type="dxa" w:w="4176"/>
            <w:shd w:fill="1B365D"/>
            <w:tcMar>
              <w:top w:w="120" w:type="dxa"/>
              <w:bottom w:w="120" w:type="dxa"/>
              <w:left w:w="150" w:type="dxa"/>
              <w:right w:w="150" w:type="dxa"/>
            </w:tcMar>
          </w:tcPr>
          <w:p>
            <w:pPr>
              <w:jc w:val="left"/>
            </w:pPr>
            <w:r>
              <w:rPr>
                <w:rFonts w:ascii="Calibri" w:hAnsi="Calibri"/>
                <w:b/>
                <w:color w:val="FFFFFF"/>
                <w:sz w:val="20"/>
              </w:rPr>
              <w:t>Statistical Interpretation</w:t>
            </w:r>
          </w:p>
        </w:tc>
      </w:tr>
      <w:tr>
        <w:tc>
          <w:tcPr>
            <w:tcW w:type="dxa" w:w="3312"/>
            <w:shd w:fill="FFFFFF"/>
            <w:tcMar>
              <w:top w:w="80" w:type="dxa"/>
              <w:bottom w:w="80" w:type="dxa"/>
              <w:left w:w="150" w:type="dxa"/>
              <w:right w:w="150" w:type="dxa"/>
            </w:tcMar>
          </w:tcPr>
          <w:p>
            <w:pPr>
              <w:jc w:val="left"/>
            </w:pPr>
            <w:r>
              <w:rPr>
                <w:rFonts w:ascii="Calibri" w:hAnsi="Calibri"/>
                <w:color w:val="282828"/>
                <w:sz w:val="19"/>
              </w:rPr>
              <w:t>Base Fare vs. Total Fare</w:t>
            </w:r>
          </w:p>
        </w:tc>
        <w:tc>
          <w:tcPr>
            <w:tcW w:type="dxa" w:w="1440"/>
            <w:shd w:fill="FFFFFF"/>
            <w:tcMar>
              <w:top w:w="80" w:type="dxa"/>
              <w:bottom w:w="80" w:type="dxa"/>
              <w:left w:w="150" w:type="dxa"/>
              <w:right w:w="150" w:type="dxa"/>
            </w:tcMar>
          </w:tcPr>
          <w:p>
            <w:pPr>
              <w:jc w:val="left"/>
            </w:pPr>
            <w:r>
              <w:rPr>
                <w:rFonts w:ascii="Calibri" w:hAnsi="Calibri"/>
                <w:color w:val="282828"/>
                <w:sz w:val="19"/>
              </w:rPr>
              <w:t>0.9949</w:t>
            </w:r>
          </w:p>
        </w:tc>
        <w:tc>
          <w:tcPr>
            <w:tcW w:type="dxa" w:w="4176"/>
            <w:shd w:fill="FFFFFF"/>
            <w:tcMar>
              <w:top w:w="80" w:type="dxa"/>
              <w:bottom w:w="80" w:type="dxa"/>
              <w:left w:w="150" w:type="dxa"/>
              <w:right w:w="150" w:type="dxa"/>
            </w:tcMar>
          </w:tcPr>
          <w:p>
            <w:pPr>
              <w:jc w:val="left"/>
            </w:pPr>
            <w:r>
              <w:rPr>
                <w:rFonts w:ascii="Calibri" w:hAnsi="Calibri"/>
                <w:color w:val="282828"/>
                <w:sz w:val="19"/>
              </w:rPr>
              <w:t>Near-perfect direct linear relationship</w:t>
            </w:r>
          </w:p>
        </w:tc>
      </w:tr>
      <w:tr>
        <w:tc>
          <w:tcPr>
            <w:tcW w:type="dxa" w:w="3312"/>
            <w:shd w:fill="F7F9FB"/>
            <w:tcMar>
              <w:top w:w="80" w:type="dxa"/>
              <w:bottom w:w="80" w:type="dxa"/>
              <w:left w:w="150" w:type="dxa"/>
              <w:right w:w="150" w:type="dxa"/>
            </w:tcMar>
          </w:tcPr>
          <w:p>
            <w:pPr>
              <w:jc w:val="left"/>
            </w:pPr>
            <w:r>
              <w:rPr>
                <w:rFonts w:ascii="Calibri" w:hAnsi="Calibri"/>
                <w:color w:val="282828"/>
                <w:sz w:val="19"/>
              </w:rPr>
              <w:t>Reservation Charge vs. Total Fare</w:t>
            </w:r>
          </w:p>
        </w:tc>
        <w:tc>
          <w:tcPr>
            <w:tcW w:type="dxa" w:w="1440"/>
            <w:shd w:fill="F7F9FB"/>
            <w:tcMar>
              <w:top w:w="80" w:type="dxa"/>
              <w:bottom w:w="80" w:type="dxa"/>
              <w:left w:w="150" w:type="dxa"/>
              <w:right w:w="150" w:type="dxa"/>
            </w:tcMar>
          </w:tcPr>
          <w:p>
            <w:pPr>
              <w:jc w:val="left"/>
            </w:pPr>
            <w:r>
              <w:rPr>
                <w:rFonts w:ascii="Calibri" w:hAnsi="Calibri"/>
                <w:color w:val="282828"/>
                <w:sz w:val="19"/>
              </w:rPr>
              <w:t>0.6853</w:t>
            </w:r>
          </w:p>
        </w:tc>
        <w:tc>
          <w:tcPr>
            <w:tcW w:type="dxa" w:w="4176"/>
            <w:shd w:fill="F7F9FB"/>
            <w:tcMar>
              <w:top w:w="80" w:type="dxa"/>
              <w:bottom w:w="80" w:type="dxa"/>
              <w:left w:w="150" w:type="dxa"/>
              <w:right w:w="150" w:type="dxa"/>
            </w:tcMar>
          </w:tcPr>
          <w:p>
            <w:pPr>
              <w:jc w:val="left"/>
            </w:pPr>
            <w:r>
              <w:rPr>
                <w:rFonts w:ascii="Calibri" w:hAnsi="Calibri"/>
                <w:color w:val="282828"/>
                <w:sz w:val="19"/>
              </w:rPr>
              <w:t>Strong positive correlation driven by higher fees on AC tiers</w:t>
            </w:r>
          </w:p>
        </w:tc>
      </w:tr>
      <w:tr>
        <w:tc>
          <w:tcPr>
            <w:tcW w:type="dxa" w:w="3312"/>
            <w:shd w:fill="FFFFFF"/>
            <w:tcMar>
              <w:top w:w="80" w:type="dxa"/>
              <w:bottom w:w="80" w:type="dxa"/>
              <w:left w:w="150" w:type="dxa"/>
              <w:right w:w="150" w:type="dxa"/>
            </w:tcMar>
          </w:tcPr>
          <w:p>
            <w:pPr>
              <w:jc w:val="left"/>
            </w:pPr>
            <w:r>
              <w:rPr>
                <w:rFonts w:ascii="Calibri" w:hAnsi="Calibri"/>
                <w:color w:val="282828"/>
                <w:sz w:val="19"/>
              </w:rPr>
              <w:t>Journey Distance vs. Total Fare</w:t>
            </w:r>
          </w:p>
        </w:tc>
        <w:tc>
          <w:tcPr>
            <w:tcW w:type="dxa" w:w="1440"/>
            <w:shd w:fill="FFFFFF"/>
            <w:tcMar>
              <w:top w:w="80" w:type="dxa"/>
              <w:bottom w:w="80" w:type="dxa"/>
              <w:left w:w="150" w:type="dxa"/>
              <w:right w:w="150" w:type="dxa"/>
            </w:tcMar>
          </w:tcPr>
          <w:p>
            <w:pPr>
              <w:jc w:val="left"/>
            </w:pPr>
            <w:r>
              <w:rPr>
                <w:rFonts w:ascii="Calibri" w:hAnsi="Calibri"/>
                <w:color w:val="282828"/>
                <w:sz w:val="19"/>
              </w:rPr>
              <w:t>0.6322</w:t>
            </w:r>
          </w:p>
        </w:tc>
        <w:tc>
          <w:tcPr>
            <w:tcW w:type="dxa" w:w="4176"/>
            <w:shd w:fill="FFFFFF"/>
            <w:tcMar>
              <w:top w:w="80" w:type="dxa"/>
              <w:bottom w:w="80" w:type="dxa"/>
              <w:left w:w="150" w:type="dxa"/>
              <w:right w:w="150" w:type="dxa"/>
            </w:tcMar>
          </w:tcPr>
          <w:p>
            <w:pPr>
              <w:jc w:val="left"/>
            </w:pPr>
            <w:r>
              <w:rPr>
                <w:rFonts w:ascii="Calibri" w:hAnsi="Calibri"/>
                <w:color w:val="282828"/>
                <w:sz w:val="19"/>
              </w:rPr>
              <w:t>Strong positive correlation adhering to distance tariff slabs</w:t>
            </w:r>
          </w:p>
        </w:tc>
      </w:tr>
      <w:tr>
        <w:tc>
          <w:tcPr>
            <w:tcW w:type="dxa" w:w="3312"/>
            <w:shd w:fill="F7F9FB"/>
            <w:tcMar>
              <w:top w:w="80" w:type="dxa"/>
              <w:bottom w:w="80" w:type="dxa"/>
              <w:left w:w="150" w:type="dxa"/>
              <w:right w:w="150" w:type="dxa"/>
            </w:tcMar>
          </w:tcPr>
          <w:p>
            <w:pPr>
              <w:jc w:val="left"/>
            </w:pPr>
            <w:r>
              <w:rPr>
                <w:rFonts w:ascii="Calibri" w:hAnsi="Calibri"/>
                <w:color w:val="282828"/>
                <w:sz w:val="19"/>
              </w:rPr>
              <w:t>Duration Hours vs. Total Fare</w:t>
            </w:r>
          </w:p>
        </w:tc>
        <w:tc>
          <w:tcPr>
            <w:tcW w:type="dxa" w:w="1440"/>
            <w:shd w:fill="F7F9FB"/>
            <w:tcMar>
              <w:top w:w="80" w:type="dxa"/>
              <w:bottom w:w="80" w:type="dxa"/>
              <w:left w:w="150" w:type="dxa"/>
              <w:right w:w="150" w:type="dxa"/>
            </w:tcMar>
          </w:tcPr>
          <w:p>
            <w:pPr>
              <w:jc w:val="left"/>
            </w:pPr>
            <w:r>
              <w:rPr>
                <w:rFonts w:ascii="Calibri" w:hAnsi="Calibri"/>
                <w:color w:val="282828"/>
                <w:sz w:val="19"/>
              </w:rPr>
              <w:t>0.6005</w:t>
            </w:r>
          </w:p>
        </w:tc>
        <w:tc>
          <w:tcPr>
            <w:tcW w:type="dxa" w:w="4176"/>
            <w:shd w:fill="F7F9FB"/>
            <w:tcMar>
              <w:top w:w="80" w:type="dxa"/>
              <w:bottom w:w="80" w:type="dxa"/>
              <w:left w:w="150" w:type="dxa"/>
              <w:right w:w="150" w:type="dxa"/>
            </w:tcMar>
          </w:tcPr>
          <w:p>
            <w:pPr>
              <w:jc w:val="left"/>
            </w:pPr>
            <w:r>
              <w:rPr>
                <w:rFonts w:ascii="Calibri" w:hAnsi="Calibri"/>
                <w:color w:val="282828"/>
                <w:sz w:val="19"/>
              </w:rPr>
              <w:t>Moderate-to-strong positive correlation via distance-duration linkage</w:t>
            </w:r>
          </w:p>
        </w:tc>
      </w:tr>
      <w:tr>
        <w:tc>
          <w:tcPr>
            <w:tcW w:type="dxa" w:w="3312"/>
            <w:shd w:fill="FFFFFF"/>
            <w:tcMar>
              <w:top w:w="80" w:type="dxa"/>
              <w:bottom w:w="80" w:type="dxa"/>
              <w:left w:w="150" w:type="dxa"/>
              <w:right w:w="150" w:type="dxa"/>
            </w:tcMar>
          </w:tcPr>
          <w:p>
            <w:pPr>
              <w:jc w:val="left"/>
            </w:pPr>
            <w:r>
              <w:rPr>
                <w:rFonts w:ascii="Calibri" w:hAnsi="Calibri"/>
                <w:color w:val="282828"/>
                <w:sz w:val="19"/>
              </w:rPr>
              <w:t>Superfast Charge vs. Total Fare</w:t>
            </w:r>
          </w:p>
        </w:tc>
        <w:tc>
          <w:tcPr>
            <w:tcW w:type="dxa" w:w="1440"/>
            <w:shd w:fill="FFFFFF"/>
            <w:tcMar>
              <w:top w:w="80" w:type="dxa"/>
              <w:bottom w:w="80" w:type="dxa"/>
              <w:left w:w="150" w:type="dxa"/>
              <w:right w:w="150" w:type="dxa"/>
            </w:tcMar>
          </w:tcPr>
          <w:p>
            <w:pPr>
              <w:jc w:val="left"/>
            </w:pPr>
            <w:r>
              <w:rPr>
                <w:rFonts w:ascii="Calibri" w:hAnsi="Calibri"/>
                <w:color w:val="282828"/>
                <w:sz w:val="19"/>
              </w:rPr>
              <w:t>0.4241</w:t>
            </w:r>
          </w:p>
        </w:tc>
        <w:tc>
          <w:tcPr>
            <w:tcW w:type="dxa" w:w="4176"/>
            <w:shd w:fill="FFFFFF"/>
            <w:tcMar>
              <w:top w:w="80" w:type="dxa"/>
              <w:bottom w:w="80" w:type="dxa"/>
              <w:left w:w="150" w:type="dxa"/>
              <w:right w:w="150" w:type="dxa"/>
            </w:tcMar>
          </w:tcPr>
          <w:p>
            <w:pPr>
              <w:jc w:val="left"/>
            </w:pPr>
            <w:r>
              <w:rPr>
                <w:rFonts w:ascii="Calibri" w:hAnsi="Calibri"/>
                <w:color w:val="282828"/>
                <w:sz w:val="19"/>
              </w:rPr>
              <w:t>Moderate positive correlation with premium high-speed services</w:t>
            </w:r>
          </w:p>
        </w:tc>
      </w:tr>
      <w:tr>
        <w:tc>
          <w:tcPr>
            <w:tcW w:type="dxa" w:w="3312"/>
            <w:shd w:fill="F7F9FB"/>
            <w:tcMar>
              <w:top w:w="80" w:type="dxa"/>
              <w:bottom w:w="80" w:type="dxa"/>
              <w:left w:w="150" w:type="dxa"/>
              <w:right w:w="150" w:type="dxa"/>
            </w:tcMar>
          </w:tcPr>
          <w:p>
            <w:pPr>
              <w:jc w:val="left"/>
            </w:pPr>
            <w:r>
              <w:rPr>
                <w:rFonts w:ascii="Calibri" w:hAnsi="Calibri"/>
                <w:color w:val="282828"/>
                <w:sz w:val="19"/>
              </w:rPr>
              <w:t>Fare per KM vs. Total Fare</w:t>
            </w:r>
          </w:p>
        </w:tc>
        <w:tc>
          <w:tcPr>
            <w:tcW w:type="dxa" w:w="1440"/>
            <w:shd w:fill="F7F9FB"/>
            <w:tcMar>
              <w:top w:w="80" w:type="dxa"/>
              <w:bottom w:w="80" w:type="dxa"/>
              <w:left w:w="150" w:type="dxa"/>
              <w:right w:w="150" w:type="dxa"/>
            </w:tcMar>
          </w:tcPr>
          <w:p>
            <w:pPr>
              <w:jc w:val="left"/>
            </w:pPr>
            <w:r>
              <w:rPr>
                <w:rFonts w:ascii="Calibri" w:hAnsi="Calibri"/>
                <w:color w:val="282828"/>
                <w:sz w:val="19"/>
              </w:rPr>
              <w:t>-0.0154</w:t>
            </w:r>
          </w:p>
        </w:tc>
        <w:tc>
          <w:tcPr>
            <w:tcW w:type="dxa" w:w="4176"/>
            <w:shd w:fill="F7F9FB"/>
            <w:tcMar>
              <w:top w:w="80" w:type="dxa"/>
              <w:bottom w:w="80" w:type="dxa"/>
              <w:left w:w="150" w:type="dxa"/>
              <w:right w:w="150" w:type="dxa"/>
            </w:tcMar>
          </w:tcPr>
          <w:p>
            <w:pPr>
              <w:jc w:val="left"/>
            </w:pPr>
            <w:r>
              <w:rPr>
                <w:rFonts w:ascii="Calibri" w:hAnsi="Calibri"/>
                <w:color w:val="282828"/>
                <w:sz w:val="19"/>
              </w:rPr>
              <w:t>Negligible linear relationship (yield varies inversely with distance)</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after="0"/>
            </w:pPr>
            <w:r>
              <w:rPr>
                <w:rFonts w:ascii="Calibri" w:hAnsi="Calibri"/>
                <w:b/>
                <w:color w:val="1B365D"/>
                <w:sz w:val="21"/>
              </w:rPr>
              <w:t xml:space="preserve">Methodological Caution: </w:t>
            </w:r>
            <w:r>
              <w:rPr>
                <w:rFonts w:ascii="Calibri" w:hAnsi="Calibri"/>
                <w:color w:val="282828"/>
                <w:sz w:val="21"/>
              </w:rPr>
              <w:t>Correlation measures bivariate association and does NOT demonstrate causation. While distance and reservation charges strongly track total fare, the tariff schedule is governed by non-linear institutional rate tables.</w:t>
            </w:r>
          </w:p>
        </w:tc>
      </w:tr>
    </w:tbl>
    <w:p>
      <w:pPr>
        <w:spacing w:after="80"/>
      </w:pPr>
    </w:p>
    <w:p>
      <w:r>
        <w:br w:type="page"/>
      </w:r>
    </w:p>
    <w:p>
      <w:pPr>
        <w:keepNext/>
        <w:spacing w:before="360" w:after="120"/>
      </w:pPr>
      <w:r>
        <w:rPr>
          <w:rFonts w:ascii="Calibri" w:hAnsi="Calibri"/>
          <w:b/>
          <w:color w:val="1B365D"/>
          <w:sz w:val="32"/>
        </w:rPr>
        <w:t>10. Machine Learning Methodology &amp; Evaluation</w:t>
      </w:r>
    </w:p>
    <w:p>
      <w:pPr>
        <w:spacing w:line="276" w:lineRule="auto" w:after="120"/>
      </w:pPr>
      <w:r>
        <w:rPr>
          <w:rFonts w:ascii="Calibri" w:hAnsi="Calibri"/>
          <w:color w:val="282828"/>
          <w:sz w:val="22"/>
        </w:rPr>
        <w:t>To automate fare forecasting and assess model predictability, we formulated a supervised regression task to predict the total passenger fare (`totalFare`).</w:t>
      </w:r>
    </w:p>
    <w:p>
      <w:pPr>
        <w:keepNext/>
        <w:spacing w:before="240" w:after="80"/>
      </w:pPr>
      <w:r>
        <w:rPr>
          <w:rFonts w:ascii="Calibri" w:hAnsi="Calibri"/>
          <w:b/>
          <w:color w:val="46505F"/>
          <w:sz w:val="26"/>
        </w:rPr>
        <w:t>Feature Selection &amp; Validation Design</w:t>
      </w:r>
    </w:p>
    <w:p>
      <w:pPr>
        <w:spacing w:line="276" w:lineRule="auto" w:after="120"/>
      </w:pPr>
      <w:r>
        <w:rPr>
          <w:rFonts w:ascii="Calibri" w:hAnsi="Calibri"/>
          <w:color w:val="282828"/>
          <w:sz w:val="22"/>
        </w:rPr>
        <w:t>The feature matrix was defined to include operational journey parameters available at the time of schedule planning:</w:t>
      </w:r>
    </w:p>
    <w:p>
      <w:pPr>
        <w:spacing w:line="276" w:lineRule="auto" w:after="120"/>
      </w:pPr>
      <w:r>
        <w:rPr>
          <w:rFonts w:ascii="Calibri" w:hAnsi="Calibri"/>
          <w:color w:val="282828"/>
          <w:sz w:val="22"/>
        </w:rPr>
        <w:t>• Continuous Predictors: `distance` (km), `duration_clean` (minutes), `reservationCharge` (INR ₹), and `superfastCharge` (INR ₹).</w:t>
      </w:r>
    </w:p>
    <w:p>
      <w:pPr>
        <w:spacing w:line="276" w:lineRule="auto" w:after="120"/>
      </w:pPr>
      <w:r>
        <w:rPr>
          <w:rFonts w:ascii="Calibri" w:hAnsi="Calibri"/>
          <w:color w:val="282828"/>
          <w:sz w:val="22"/>
        </w:rPr>
        <w:t>• Categorical Predictors: `classCode` (One-hot encoded into 5 binary indicators representing 2A, 3A, CC, SL, and 2S with 1A as baseline reference).</w:t>
      </w:r>
    </w:p>
    <w:p>
      <w:pPr>
        <w:spacing w:line="276" w:lineRule="auto" w:after="120"/>
      </w:pPr>
      <w:r>
        <w:rPr>
          <w:rFonts w:ascii="Calibri" w:hAnsi="Calibri"/>
          <w:color w:val="282828"/>
          <w:sz w:val="22"/>
        </w:rPr>
        <w:t>The dataset was partitioned into an 80% training set (261,314 samples) and a 20% independent testing set (65,329 samples) using `random_state=42`.</w:t>
      </w:r>
    </w:p>
    <w:p>
      <w:pPr>
        <w:keepNext/>
        <w:spacing w:before="240" w:after="80"/>
      </w:pPr>
      <w:r>
        <w:rPr>
          <w:rFonts w:ascii="Calibri" w:hAnsi="Calibri"/>
          <w:b/>
          <w:color w:val="46505F"/>
          <w:sz w:val="26"/>
        </w:rPr>
        <w:t>Model Comparison &amp; Empirical Results</w:t>
      </w:r>
    </w:p>
    <w:p>
      <w:pPr>
        <w:spacing w:line="276" w:lineRule="auto" w:after="120"/>
      </w:pPr>
      <w:r>
        <w:rPr>
          <w:rFonts w:ascii="Calibri" w:hAnsi="Calibri"/>
          <w:color w:val="282828"/>
          <w:sz w:val="22"/>
        </w:rPr>
        <w:t>Two candidate algorithms were evaluated: a parametric Linear Regression baseline and an ensemble Random Forest Regressor (100 estimators, max depth 16).</w:t>
      </w:r>
    </w:p>
    <w:tbl>
      <w:tblPr>
        <w:tblW w:type="auto" w:w="0"/>
        <w:jc w:val="center"/>
        <w:tblLook w:firstColumn="1" w:firstRow="1" w:lastColumn="0" w:lastRow="0" w:noHBand="0" w:noVBand="1" w:val="04A0"/>
      </w:tblPr>
      <w:tblGrid>
        <w:gridCol w:w="2340"/>
        <w:gridCol w:w="2340"/>
        <w:gridCol w:w="2340"/>
        <w:gridCol w:w="2340"/>
      </w:tblGrid>
      <w:tr>
        <w:tc>
          <w:tcPr>
            <w:tcW w:type="dxa" w:w="2880"/>
            <w:shd w:fill="1B365D"/>
            <w:tcMar>
              <w:top w:w="120" w:type="dxa"/>
              <w:bottom w:w="120" w:type="dxa"/>
              <w:left w:w="150" w:type="dxa"/>
              <w:right w:w="150" w:type="dxa"/>
            </w:tcMar>
          </w:tcPr>
          <w:p>
            <w:pPr>
              <w:jc w:val="left"/>
            </w:pPr>
            <w:r>
              <w:rPr>
                <w:rFonts w:ascii="Calibri" w:hAnsi="Calibri"/>
                <w:b/>
                <w:color w:val="FFFFFF"/>
                <w:sz w:val="20"/>
              </w:rPr>
              <w:t>Evaluation Metric</w:t>
            </w:r>
          </w:p>
        </w:tc>
        <w:tc>
          <w:tcPr>
            <w:tcW w:type="dxa" w:w="2016"/>
            <w:shd w:fill="1B365D"/>
            <w:tcMar>
              <w:top w:w="120" w:type="dxa"/>
              <w:bottom w:w="120" w:type="dxa"/>
              <w:left w:w="150" w:type="dxa"/>
              <w:right w:w="150" w:type="dxa"/>
            </w:tcMar>
          </w:tcPr>
          <w:p>
            <w:pPr>
              <w:jc w:val="left"/>
            </w:pPr>
            <w:r>
              <w:rPr>
                <w:rFonts w:ascii="Calibri" w:hAnsi="Calibri"/>
                <w:b/>
                <w:color w:val="FFFFFF"/>
                <w:sz w:val="20"/>
              </w:rPr>
              <w:t>Linear Regression</w:t>
            </w:r>
          </w:p>
        </w:tc>
        <w:tc>
          <w:tcPr>
            <w:tcW w:type="dxa" w:w="2304"/>
            <w:shd w:fill="1B365D"/>
            <w:tcMar>
              <w:top w:w="120" w:type="dxa"/>
              <w:bottom w:w="120" w:type="dxa"/>
              <w:left w:w="150" w:type="dxa"/>
              <w:right w:w="150" w:type="dxa"/>
            </w:tcMar>
          </w:tcPr>
          <w:p>
            <w:pPr>
              <w:jc w:val="left"/>
            </w:pPr>
            <w:r>
              <w:rPr>
                <w:rFonts w:ascii="Calibri" w:hAnsi="Calibri"/>
                <w:b/>
                <w:color w:val="FFFFFF"/>
                <w:sz w:val="20"/>
              </w:rPr>
              <w:t>Random Forest Regressor</w:t>
            </w:r>
          </w:p>
        </w:tc>
        <w:tc>
          <w:tcPr>
            <w:tcW w:type="dxa" w:w="1728"/>
            <w:shd w:fill="1B365D"/>
            <w:tcMar>
              <w:top w:w="120" w:type="dxa"/>
              <w:bottom w:w="120" w:type="dxa"/>
              <w:left w:w="150" w:type="dxa"/>
              <w:right w:w="150" w:type="dxa"/>
            </w:tcMar>
          </w:tcPr>
          <w:p>
            <w:pPr>
              <w:jc w:val="left"/>
            </w:pPr>
            <w:r>
              <w:rPr>
                <w:rFonts w:ascii="Calibri" w:hAnsi="Calibri"/>
                <w:b/>
                <w:color w:val="FFFFFF"/>
                <w:sz w:val="20"/>
              </w:rPr>
              <w:t>Performance Improvement</w:t>
            </w:r>
          </w:p>
        </w:tc>
      </w:tr>
      <w:tr>
        <w:tc>
          <w:tcPr>
            <w:tcW w:type="dxa" w:w="2880"/>
            <w:shd w:fill="FFFFFF"/>
            <w:tcMar>
              <w:top w:w="80" w:type="dxa"/>
              <w:bottom w:w="80" w:type="dxa"/>
              <w:left w:w="150" w:type="dxa"/>
              <w:right w:w="150" w:type="dxa"/>
            </w:tcMar>
          </w:tcPr>
          <w:p>
            <w:pPr>
              <w:jc w:val="left"/>
            </w:pPr>
            <w:r>
              <w:rPr>
                <w:rFonts w:ascii="Calibri" w:hAnsi="Calibri"/>
                <w:color w:val="282828"/>
                <w:sz w:val="19"/>
              </w:rPr>
              <w:t>Mean Absolute Error (MAE)</w:t>
            </w:r>
          </w:p>
        </w:tc>
        <w:tc>
          <w:tcPr>
            <w:tcW w:type="dxa" w:w="2016"/>
            <w:shd w:fill="FFFFFF"/>
            <w:tcMar>
              <w:top w:w="80" w:type="dxa"/>
              <w:bottom w:w="80" w:type="dxa"/>
              <w:left w:w="150" w:type="dxa"/>
              <w:right w:w="150" w:type="dxa"/>
            </w:tcMar>
          </w:tcPr>
          <w:p>
            <w:pPr>
              <w:jc w:val="left"/>
            </w:pPr>
            <w:r>
              <w:rPr>
                <w:rFonts w:ascii="Calibri" w:hAnsi="Calibri"/>
                <w:color w:val="282828"/>
                <w:sz w:val="19"/>
              </w:rPr>
              <w:t>₹224.60</w:t>
            </w:r>
          </w:p>
        </w:tc>
        <w:tc>
          <w:tcPr>
            <w:tcW w:type="dxa" w:w="2304"/>
            <w:shd w:fill="FFFFFF"/>
            <w:tcMar>
              <w:top w:w="80" w:type="dxa"/>
              <w:bottom w:w="80" w:type="dxa"/>
              <w:left w:w="150" w:type="dxa"/>
              <w:right w:w="150" w:type="dxa"/>
            </w:tcMar>
          </w:tcPr>
          <w:p>
            <w:pPr>
              <w:jc w:val="left"/>
            </w:pPr>
            <w:r>
              <w:rPr>
                <w:rFonts w:ascii="Calibri" w:hAnsi="Calibri"/>
                <w:color w:val="282828"/>
                <w:sz w:val="19"/>
              </w:rPr>
              <w:t>₹41.75</w:t>
            </w:r>
          </w:p>
        </w:tc>
        <w:tc>
          <w:tcPr>
            <w:tcW w:type="dxa" w:w="1728"/>
            <w:shd w:fill="FFFFFF"/>
            <w:tcMar>
              <w:top w:w="80" w:type="dxa"/>
              <w:bottom w:w="80" w:type="dxa"/>
              <w:left w:w="150" w:type="dxa"/>
              <w:right w:w="150" w:type="dxa"/>
            </w:tcMar>
          </w:tcPr>
          <w:p>
            <w:pPr>
              <w:jc w:val="left"/>
            </w:pPr>
            <w:r>
              <w:rPr>
                <w:rFonts w:ascii="Calibri" w:hAnsi="Calibri"/>
                <w:color w:val="282828"/>
                <w:sz w:val="19"/>
              </w:rPr>
              <w:t>81.4% reduction in average error</w:t>
            </w:r>
          </w:p>
        </w:tc>
      </w:tr>
      <w:tr>
        <w:tc>
          <w:tcPr>
            <w:tcW w:type="dxa" w:w="2880"/>
            <w:shd w:fill="F7F9FB"/>
            <w:tcMar>
              <w:top w:w="80" w:type="dxa"/>
              <w:bottom w:w="80" w:type="dxa"/>
              <w:left w:w="150" w:type="dxa"/>
              <w:right w:w="150" w:type="dxa"/>
            </w:tcMar>
          </w:tcPr>
          <w:p>
            <w:pPr>
              <w:jc w:val="left"/>
            </w:pPr>
            <w:r>
              <w:rPr>
                <w:rFonts w:ascii="Calibri" w:hAnsi="Calibri"/>
                <w:color w:val="282828"/>
                <w:sz w:val="19"/>
              </w:rPr>
              <w:t>Mean Squared Error (MSE)</w:t>
            </w:r>
          </w:p>
        </w:tc>
        <w:tc>
          <w:tcPr>
            <w:tcW w:type="dxa" w:w="2016"/>
            <w:shd w:fill="F7F9FB"/>
            <w:tcMar>
              <w:top w:w="80" w:type="dxa"/>
              <w:bottom w:w="80" w:type="dxa"/>
              <w:left w:w="150" w:type="dxa"/>
              <w:right w:w="150" w:type="dxa"/>
            </w:tcMar>
          </w:tcPr>
          <w:p>
            <w:pPr>
              <w:jc w:val="left"/>
            </w:pPr>
            <w:r>
              <w:rPr>
                <w:rFonts w:ascii="Calibri" w:hAnsi="Calibri"/>
                <w:color w:val="282828"/>
                <w:sz w:val="19"/>
              </w:rPr>
              <w:t>111835.64</w:t>
            </w:r>
          </w:p>
        </w:tc>
        <w:tc>
          <w:tcPr>
            <w:tcW w:type="dxa" w:w="2304"/>
            <w:shd w:fill="F7F9FB"/>
            <w:tcMar>
              <w:top w:w="80" w:type="dxa"/>
              <w:bottom w:w="80" w:type="dxa"/>
              <w:left w:w="150" w:type="dxa"/>
              <w:right w:w="150" w:type="dxa"/>
            </w:tcMar>
          </w:tcPr>
          <w:p>
            <w:pPr>
              <w:jc w:val="left"/>
            </w:pPr>
            <w:r>
              <w:rPr>
                <w:rFonts w:ascii="Calibri" w:hAnsi="Calibri"/>
                <w:color w:val="282828"/>
                <w:sz w:val="19"/>
              </w:rPr>
              <w:t>12265.60</w:t>
            </w:r>
          </w:p>
        </w:tc>
        <w:tc>
          <w:tcPr>
            <w:tcW w:type="dxa" w:w="1728"/>
            <w:shd w:fill="F7F9FB"/>
            <w:tcMar>
              <w:top w:w="80" w:type="dxa"/>
              <w:bottom w:w="80" w:type="dxa"/>
              <w:left w:w="150" w:type="dxa"/>
              <w:right w:w="150" w:type="dxa"/>
            </w:tcMar>
          </w:tcPr>
          <w:p>
            <w:pPr>
              <w:jc w:val="left"/>
            </w:pPr>
            <w:r>
              <w:rPr>
                <w:rFonts w:ascii="Calibri" w:hAnsi="Calibri"/>
                <w:color w:val="282828"/>
                <w:sz w:val="19"/>
              </w:rPr>
              <w:t>89.0% reduction in squared residual variance</w:t>
            </w:r>
          </w:p>
        </w:tc>
      </w:tr>
      <w:tr>
        <w:tc>
          <w:tcPr>
            <w:tcW w:type="dxa" w:w="2880"/>
            <w:shd w:fill="FFFFFF"/>
            <w:tcMar>
              <w:top w:w="80" w:type="dxa"/>
              <w:bottom w:w="80" w:type="dxa"/>
              <w:left w:w="150" w:type="dxa"/>
              <w:right w:w="150" w:type="dxa"/>
            </w:tcMar>
          </w:tcPr>
          <w:p>
            <w:pPr>
              <w:jc w:val="left"/>
            </w:pPr>
            <w:r>
              <w:rPr>
                <w:rFonts w:ascii="Calibri" w:hAnsi="Calibri"/>
                <w:color w:val="282828"/>
                <w:sz w:val="19"/>
              </w:rPr>
              <w:t>Root Mean Squared Error (RMSE)</w:t>
            </w:r>
          </w:p>
        </w:tc>
        <w:tc>
          <w:tcPr>
            <w:tcW w:type="dxa" w:w="2016"/>
            <w:shd w:fill="FFFFFF"/>
            <w:tcMar>
              <w:top w:w="80" w:type="dxa"/>
              <w:bottom w:w="80" w:type="dxa"/>
              <w:left w:w="150" w:type="dxa"/>
              <w:right w:w="150" w:type="dxa"/>
            </w:tcMar>
          </w:tcPr>
          <w:p>
            <w:pPr>
              <w:jc w:val="left"/>
            </w:pPr>
            <w:r>
              <w:rPr>
                <w:rFonts w:ascii="Calibri" w:hAnsi="Calibri"/>
                <w:color w:val="282828"/>
                <w:sz w:val="19"/>
              </w:rPr>
              <w:t>₹334.42</w:t>
            </w:r>
          </w:p>
        </w:tc>
        <w:tc>
          <w:tcPr>
            <w:tcW w:type="dxa" w:w="2304"/>
            <w:shd w:fill="FFFFFF"/>
            <w:tcMar>
              <w:top w:w="80" w:type="dxa"/>
              <w:bottom w:w="80" w:type="dxa"/>
              <w:left w:w="150" w:type="dxa"/>
              <w:right w:w="150" w:type="dxa"/>
            </w:tcMar>
          </w:tcPr>
          <w:p>
            <w:pPr>
              <w:jc w:val="left"/>
            </w:pPr>
            <w:r>
              <w:rPr>
                <w:rFonts w:ascii="Calibri" w:hAnsi="Calibri"/>
                <w:color w:val="282828"/>
                <w:sz w:val="19"/>
              </w:rPr>
              <w:t>₹110.75</w:t>
            </w:r>
          </w:p>
        </w:tc>
        <w:tc>
          <w:tcPr>
            <w:tcW w:type="dxa" w:w="1728"/>
            <w:shd w:fill="FFFFFF"/>
            <w:tcMar>
              <w:top w:w="80" w:type="dxa"/>
              <w:bottom w:w="80" w:type="dxa"/>
              <w:left w:w="150" w:type="dxa"/>
              <w:right w:w="150" w:type="dxa"/>
            </w:tcMar>
          </w:tcPr>
          <w:p>
            <w:pPr>
              <w:jc w:val="left"/>
            </w:pPr>
            <w:r>
              <w:rPr>
                <w:rFonts w:ascii="Calibri" w:hAnsi="Calibri"/>
                <w:color w:val="282828"/>
                <w:sz w:val="19"/>
              </w:rPr>
              <w:t>66.9% reduction in prediction deviation</w:t>
            </w:r>
          </w:p>
        </w:tc>
      </w:tr>
      <w:tr>
        <w:tc>
          <w:tcPr>
            <w:tcW w:type="dxa" w:w="2880"/>
            <w:shd w:fill="F7F9FB"/>
            <w:tcMar>
              <w:top w:w="80" w:type="dxa"/>
              <w:bottom w:w="80" w:type="dxa"/>
              <w:left w:w="150" w:type="dxa"/>
              <w:right w:w="150" w:type="dxa"/>
            </w:tcMar>
          </w:tcPr>
          <w:p>
            <w:pPr>
              <w:jc w:val="left"/>
            </w:pPr>
            <w:r>
              <w:rPr>
                <w:rFonts w:ascii="Calibri" w:hAnsi="Calibri"/>
                <w:color w:val="282828"/>
                <w:sz w:val="19"/>
              </w:rPr>
              <w:t>Coefficient of Determination (R²)</w:t>
            </w:r>
          </w:p>
        </w:tc>
        <w:tc>
          <w:tcPr>
            <w:tcW w:type="dxa" w:w="2016"/>
            <w:shd w:fill="F7F9FB"/>
            <w:tcMar>
              <w:top w:w="80" w:type="dxa"/>
              <w:bottom w:w="80" w:type="dxa"/>
              <w:left w:w="150" w:type="dxa"/>
              <w:right w:w="150" w:type="dxa"/>
            </w:tcMar>
          </w:tcPr>
          <w:p>
            <w:pPr>
              <w:jc w:val="left"/>
            </w:pPr>
            <w:r>
              <w:rPr>
                <w:rFonts w:ascii="Calibri" w:hAnsi="Calibri"/>
                <w:color w:val="282828"/>
                <w:sz w:val="19"/>
              </w:rPr>
              <w:t>0.8525</w:t>
            </w:r>
          </w:p>
        </w:tc>
        <w:tc>
          <w:tcPr>
            <w:tcW w:type="dxa" w:w="2304"/>
            <w:shd w:fill="F7F9FB"/>
            <w:tcMar>
              <w:top w:w="80" w:type="dxa"/>
              <w:bottom w:w="80" w:type="dxa"/>
              <w:left w:w="150" w:type="dxa"/>
              <w:right w:w="150" w:type="dxa"/>
            </w:tcMar>
          </w:tcPr>
          <w:p>
            <w:pPr>
              <w:jc w:val="left"/>
            </w:pPr>
            <w:r>
              <w:rPr>
                <w:rFonts w:ascii="Calibri" w:hAnsi="Calibri"/>
                <w:color w:val="282828"/>
                <w:sz w:val="19"/>
              </w:rPr>
              <w:t>0.9838</w:t>
            </w:r>
          </w:p>
        </w:tc>
        <w:tc>
          <w:tcPr>
            <w:tcW w:type="dxa" w:w="1728"/>
            <w:shd w:fill="F7F9FB"/>
            <w:tcMar>
              <w:top w:w="80" w:type="dxa"/>
              <w:bottom w:w="80" w:type="dxa"/>
              <w:left w:w="150" w:type="dxa"/>
              <w:right w:w="150" w:type="dxa"/>
            </w:tcMar>
          </w:tcPr>
          <w:p>
            <w:pPr>
              <w:jc w:val="left"/>
            </w:pPr>
            <w:r>
              <w:rPr>
                <w:rFonts w:ascii="Calibri" w:hAnsi="Calibri"/>
                <w:color w:val="282828"/>
                <w:sz w:val="19"/>
              </w:rPr>
              <w:t>Captures 98.38% of fare variance</w:t>
            </w:r>
          </w:p>
        </w:tc>
      </w:tr>
    </w:tbl>
    <w:p>
      <w:pPr>
        <w:spacing w:after="120"/>
      </w:pPr>
    </w:p>
    <w:p>
      <w:pPr>
        <w:spacing w:before="160" w:after="80"/>
        <w:jc w:val="center"/>
      </w:pPr>
      <w:r>
        <w:drawing>
          <wp:inline xmlns:a="http://schemas.openxmlformats.org/drawingml/2006/main" xmlns:pic="http://schemas.openxmlformats.org/drawingml/2006/picture">
            <wp:extent cx="5303520" cy="3182112"/>
            <wp:docPr id="12" name="Picture 12"/>
            <wp:cNvGraphicFramePr>
              <a:graphicFrameLocks noChangeAspect="1"/>
            </wp:cNvGraphicFramePr>
            <a:graphic>
              <a:graphicData uri="http://schemas.openxmlformats.org/drawingml/2006/picture">
                <pic:pic>
                  <pic:nvPicPr>
                    <pic:cNvPr id="0" name="13_ml_actual_vs_predicted.png"/>
                    <pic:cNvPicPr/>
                  </pic:nvPicPr>
                  <pic:blipFill>
                    <a:blip r:embed="rId20"/>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12: Actual vs. Predicted fare scatter plot demonstrating Random Forest alignment with ground truth.</w:t>
      </w:r>
    </w:p>
    <w:p>
      <w:pPr>
        <w:spacing w:before="160" w:after="80"/>
        <w:jc w:val="center"/>
      </w:pPr>
      <w:r>
        <w:drawing>
          <wp:inline xmlns:a="http://schemas.openxmlformats.org/drawingml/2006/main" xmlns:pic="http://schemas.openxmlformats.org/drawingml/2006/picture">
            <wp:extent cx="5303520" cy="3182112"/>
            <wp:docPr id="13" name="Picture 13"/>
            <wp:cNvGraphicFramePr>
              <a:graphicFrameLocks noChangeAspect="1"/>
            </wp:cNvGraphicFramePr>
            <a:graphic>
              <a:graphicData uri="http://schemas.openxmlformats.org/drawingml/2006/picture">
                <pic:pic>
                  <pic:nvPicPr>
                    <pic:cNvPr id="0" name="14_ml_feature_importance.png"/>
                    <pic:cNvPicPr/>
                  </pic:nvPicPr>
                  <pic:blipFill>
                    <a:blip r:embed="rId21"/>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46505F"/>
          <w:sz w:val="19"/>
        </w:rPr>
        <w:t>Figure 13: Gini feature importance ranking from the Random Forest Regressor.</w:t>
      </w:r>
    </w:p>
    <w:p>
      <w:pPr>
        <w:spacing w:line="276" w:lineRule="auto" w:after="120"/>
      </w:pPr>
      <w:r>
        <w:rPr>
          <w:rFonts w:ascii="Calibri" w:hAnsi="Calibri"/>
          <w:color w:val="282828"/>
          <w:sz w:val="22"/>
        </w:rPr>
        <w:t>Feature importance analysis reveals that `reservationCharge` (44.6%) and `distance` (44.4%) together account for 89.0% of the model's predictive power, reflecting how reservation surcharges act as an effective proxy for travel class while distance drives fundamental tariff scaling.</w:t>
      </w:r>
    </w:p>
    <w:p>
      <w:r>
        <w:br w:type="page"/>
      </w:r>
    </w:p>
    <w:p>
      <w:pPr>
        <w:keepNext/>
        <w:spacing w:before="360" w:after="120"/>
      </w:pPr>
      <w:r>
        <w:rPr>
          <w:rFonts w:ascii="Calibri" w:hAnsi="Calibri"/>
          <w:b/>
          <w:color w:val="1B365D"/>
          <w:sz w:val="32"/>
        </w:rPr>
        <w:t>11. Key Business &amp; Operational Insights</w:t>
      </w:r>
    </w:p>
    <w:p>
      <w:pPr>
        <w:spacing w:line="276" w:lineRule="auto" w:after="120"/>
      </w:pPr>
      <w:r>
        <w:rPr>
          <w:rFonts w:ascii="Calibri" w:hAnsi="Calibri"/>
          <w:color w:val="282828"/>
          <w:sz w:val="22"/>
        </w:rPr>
        <w:t>Based strictly on empirical evidence, ten core insights emerge:</w:t>
      </w:r>
    </w:p>
    <w:p>
      <w:pPr>
        <w:spacing w:line="276" w:lineRule="auto" w:after="120"/>
      </w:pPr>
      <w:r>
        <w:rPr>
          <w:rFonts w:ascii="Calibri" w:hAnsi="Calibri"/>
          <w:color w:val="282828"/>
          <w:sz w:val="22"/>
        </w:rPr>
        <w:t>1. Severe Sleeper &amp; 3A Capacity Crunch: Over 66% of booking queries for Sleeper and AC 3-Tier result in waitlisting, showing an acute supply-demand imbalance in budget long-distance travel.</w:t>
      </w:r>
    </w:p>
    <w:p>
      <w:pPr>
        <w:spacing w:line="276" w:lineRule="auto" w:after="120"/>
      </w:pPr>
      <w:r>
        <w:rPr>
          <w:rFonts w:ascii="Calibri" w:hAnsi="Calibri"/>
          <w:color w:val="282828"/>
          <w:sz w:val="22"/>
        </w:rPr>
        <w:t>2. Structural Cross-Subsidization: Tariff yields range from ₹1.29/km in Second Sitting to ₹8.44/km in AC First Class, confirming heavy cross-subsidization of mass transit by premium AC classes.</w:t>
      </w:r>
    </w:p>
    <w:p>
      <w:pPr>
        <w:spacing w:line="276" w:lineRule="auto" w:after="120"/>
      </w:pPr>
      <w:r>
        <w:rPr>
          <w:rFonts w:ascii="Calibri" w:hAnsi="Calibri"/>
          <w:color w:val="282828"/>
          <w:sz w:val="22"/>
        </w:rPr>
        <w:t>3. High Confirmation in Day Seating: Second Sitting (78.0%) and Chair Car (68.5%) exhibit strong confirmation rates, indicating underutilized day-train capacity.</w:t>
      </w:r>
    </w:p>
    <w:p>
      <w:pPr>
        <w:spacing w:line="276" w:lineRule="auto" w:after="120"/>
      </w:pPr>
      <w:r>
        <w:rPr>
          <w:rFonts w:ascii="Calibri" w:hAnsi="Calibri"/>
          <w:color w:val="282828"/>
          <w:sz w:val="22"/>
        </w:rPr>
        <w:t>4. Base Fare Dominance: Base fare represents 89.0% of passenger ticket costs; dynamic flexi-fare surcharges remain rare across general express services.</w:t>
      </w:r>
    </w:p>
    <w:p>
      <w:pPr>
        <w:spacing w:line="276" w:lineRule="auto" w:after="120"/>
      </w:pPr>
      <w:r>
        <w:rPr>
          <w:rFonts w:ascii="Calibri" w:hAnsi="Calibri"/>
          <w:color w:val="282828"/>
          <w:sz w:val="22"/>
        </w:rPr>
        <w:t>5. Fleet Reliance on Express Services: Express trains constitute 74.2% of total operational services, forming the core connectivity network.</w:t>
      </w:r>
    </w:p>
    <w:p>
      <w:pPr>
        <w:spacing w:line="276" w:lineRule="auto" w:after="120"/>
      </w:pPr>
      <w:r>
        <w:rPr>
          <w:rFonts w:ascii="Calibri" w:hAnsi="Calibri"/>
          <w:color w:val="282828"/>
          <w:sz w:val="22"/>
        </w:rPr>
        <w:t>6. Distance-Availability Penalty: A statistically significant negative correlation exists between journey distance and confirmed seat availability.</w:t>
      </w:r>
    </w:p>
    <w:p>
      <w:pPr>
        <w:spacing w:line="276" w:lineRule="auto" w:after="120"/>
      </w:pPr>
      <w:r>
        <w:rPr>
          <w:rFonts w:ascii="Calibri" w:hAnsi="Calibri"/>
          <w:color w:val="282828"/>
          <w:sz w:val="22"/>
        </w:rPr>
        <w:t>7. Terminal Hub Chokepoints: Metropolitan junctions (NDLS, HWH, BRC, CNB) handle disproportionate traffic volumes, creating potential congestion bottlenecks.</w:t>
      </w:r>
    </w:p>
    <w:p>
      <w:pPr>
        <w:spacing w:line="276" w:lineRule="auto" w:after="120"/>
      </w:pPr>
      <w:r>
        <w:rPr>
          <w:rFonts w:ascii="Calibri" w:hAnsi="Calibri"/>
          <w:color w:val="282828"/>
          <w:sz w:val="22"/>
        </w:rPr>
        <w:t>8. Highly Predictable Tariff Structures: Passenger fares adhere to deterministic distance slabs, enabling machine learning models to forecast prices with 98.38% accuracy.</w:t>
      </w:r>
    </w:p>
    <w:p>
      <w:pPr>
        <w:spacing w:line="276" w:lineRule="auto" w:after="120"/>
      </w:pPr>
      <w:r>
        <w:rPr>
          <w:rFonts w:ascii="Calibri" w:hAnsi="Calibri"/>
          <w:color w:val="282828"/>
          <w:sz w:val="22"/>
        </w:rPr>
        <w:t>9. Non-linear Class Slabs: Random Forest significantly outperformed Linear Regression (RMSE reduced from ₹334.42 to ₹110.75), demonstrating that tariff step-functions require non-linear modeling.</w:t>
      </w:r>
    </w:p>
    <w:p>
      <w:pPr>
        <w:spacing w:line="276" w:lineRule="auto" w:after="120"/>
      </w:pPr>
      <w:r>
        <w:rPr>
          <w:rFonts w:ascii="Calibri" w:hAnsi="Calibri"/>
          <w:color w:val="282828"/>
          <w:sz w:val="22"/>
        </w:rPr>
        <w:t>10. Predictable Ancillary Surcharges: Superfast levies and reservation fees act as stable, predictable revenue increments across all scheduled services.</w:t>
      </w:r>
    </w:p>
    <w:p>
      <w:pPr>
        <w:keepNext/>
        <w:spacing w:before="360" w:after="120"/>
      </w:pPr>
      <w:r>
        <w:rPr>
          <w:rFonts w:ascii="Calibri" w:hAnsi="Calibri"/>
          <w:b/>
          <w:color w:val="1B365D"/>
          <w:sz w:val="32"/>
        </w:rPr>
        <w:t>12. Prescriptive &amp; Actionable Recommendations</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Pr>
          <w:p>
            <w:pPr>
              <w:jc w:val="left"/>
            </w:pPr>
            <w:r>
              <w:rPr>
                <w:rFonts w:ascii="Calibri" w:hAnsi="Calibri"/>
                <w:b/>
                <w:color w:val="FFFFFF"/>
                <w:sz w:val="20"/>
              </w:rPr>
              <w:t>Recommendation Area</w:t>
            </w:r>
          </w:p>
        </w:tc>
        <w:tc>
          <w:tcPr>
            <w:tcW w:type="dxa" w:w="3024"/>
            <w:shd w:fill="1B365D"/>
            <w:tcMar>
              <w:top w:w="120" w:type="dxa"/>
              <w:bottom w:w="120" w:type="dxa"/>
              <w:left w:w="150" w:type="dxa"/>
              <w:right w:w="150" w:type="dxa"/>
            </w:tcMar>
          </w:tcPr>
          <w:p>
            <w:pPr>
              <w:jc w:val="left"/>
            </w:pPr>
            <w:r>
              <w:rPr>
                <w:rFonts w:ascii="Calibri" w:hAnsi="Calibri"/>
                <w:b/>
                <w:color w:val="FFFFFF"/>
                <w:sz w:val="20"/>
              </w:rPr>
              <w:t>Empirical Finding</w:t>
            </w:r>
          </w:p>
        </w:tc>
        <w:tc>
          <w:tcPr>
            <w:tcW w:type="dxa" w:w="3744"/>
            <w:shd w:fill="1B365D"/>
            <w:tcMar>
              <w:top w:w="120" w:type="dxa"/>
              <w:bottom w:w="120" w:type="dxa"/>
              <w:left w:w="150" w:type="dxa"/>
              <w:right w:w="150" w:type="dxa"/>
            </w:tcMar>
          </w:tcPr>
          <w:p>
            <w:pPr>
              <w:jc w:val="left"/>
            </w:pPr>
            <w:r>
              <w:rPr>
                <w:rFonts w:ascii="Calibri" w:hAnsi="Calibri"/>
                <w:b/>
                <w:color w:val="FFFFFF"/>
                <w:sz w:val="20"/>
              </w:rPr>
              <w:t>Actionable Strategy</w:t>
            </w:r>
          </w:p>
        </w:tc>
      </w:tr>
      <w:tr>
        <w:tc>
          <w:tcPr>
            <w:tcW w:type="dxa" w:w="2160"/>
            <w:shd w:fill="FFFFFF"/>
            <w:tcMar>
              <w:top w:w="80" w:type="dxa"/>
              <w:bottom w:w="80" w:type="dxa"/>
              <w:left w:w="150" w:type="dxa"/>
              <w:right w:w="150" w:type="dxa"/>
            </w:tcMar>
          </w:tcPr>
          <w:p>
            <w:pPr>
              <w:jc w:val="left"/>
            </w:pPr>
            <w:r>
              <w:rPr>
                <w:rFonts w:ascii="Calibri" w:hAnsi="Calibri"/>
                <w:color w:val="282828"/>
                <w:sz w:val="19"/>
              </w:rPr>
              <w:t>1. Capacity Rebalancing</w:t>
            </w:r>
          </w:p>
        </w:tc>
        <w:tc>
          <w:tcPr>
            <w:tcW w:type="dxa" w:w="3024"/>
            <w:shd w:fill="FFFFFF"/>
            <w:tcMar>
              <w:top w:w="80" w:type="dxa"/>
              <w:bottom w:w="80" w:type="dxa"/>
              <w:left w:w="150" w:type="dxa"/>
              <w:right w:w="150" w:type="dxa"/>
            </w:tcMar>
          </w:tcPr>
          <w:p>
            <w:pPr>
              <w:jc w:val="left"/>
            </w:pPr>
            <w:r>
              <w:rPr>
                <w:rFonts w:ascii="Calibri" w:hAnsi="Calibri"/>
                <w:color w:val="282828"/>
                <w:sz w:val="19"/>
              </w:rPr>
              <w:t>Sleeper &amp; 3A waitlist rates exceed 66%.</w:t>
            </w:r>
          </w:p>
        </w:tc>
        <w:tc>
          <w:tcPr>
            <w:tcW w:type="dxa" w:w="3744"/>
            <w:shd w:fill="FFFFFF"/>
            <w:tcMar>
              <w:top w:w="80" w:type="dxa"/>
              <w:bottom w:w="80" w:type="dxa"/>
              <w:left w:w="150" w:type="dxa"/>
              <w:right w:w="150" w:type="dxa"/>
            </w:tcMar>
          </w:tcPr>
          <w:p>
            <w:pPr>
              <w:jc w:val="left"/>
            </w:pPr>
            <w:r>
              <w:rPr>
                <w:rFonts w:ascii="Calibri" w:hAnsi="Calibri"/>
                <w:color w:val="282828"/>
                <w:sz w:val="19"/>
              </w:rPr>
              <w:t>Augment rake configurations by adding 2-3 extra Sleeper and 3A Economy coaches on high-waitlist trunk routes.</w:t>
            </w:r>
          </w:p>
        </w:tc>
      </w:tr>
      <w:tr>
        <w:tc>
          <w:tcPr>
            <w:tcW w:type="dxa" w:w="2160"/>
            <w:shd w:fill="F7F9FB"/>
            <w:tcMar>
              <w:top w:w="80" w:type="dxa"/>
              <w:bottom w:w="80" w:type="dxa"/>
              <w:left w:w="150" w:type="dxa"/>
              <w:right w:w="150" w:type="dxa"/>
            </w:tcMar>
          </w:tcPr>
          <w:p>
            <w:pPr>
              <w:jc w:val="left"/>
            </w:pPr>
            <w:r>
              <w:rPr>
                <w:rFonts w:ascii="Calibri" w:hAnsi="Calibri"/>
                <w:color w:val="282828"/>
                <w:sz w:val="19"/>
              </w:rPr>
              <w:t>2. Day-Train Marketing</w:t>
            </w:r>
          </w:p>
        </w:tc>
        <w:tc>
          <w:tcPr>
            <w:tcW w:type="dxa" w:w="3024"/>
            <w:shd w:fill="F7F9FB"/>
            <w:tcMar>
              <w:top w:w="80" w:type="dxa"/>
              <w:bottom w:w="80" w:type="dxa"/>
              <w:left w:w="150" w:type="dxa"/>
              <w:right w:w="150" w:type="dxa"/>
            </w:tcMar>
          </w:tcPr>
          <w:p>
            <w:pPr>
              <w:jc w:val="left"/>
            </w:pPr>
            <w:r>
              <w:rPr>
                <w:rFonts w:ascii="Calibri" w:hAnsi="Calibri"/>
                <w:color w:val="282828"/>
                <w:sz w:val="19"/>
              </w:rPr>
              <w:t>2S and CC show high confirmation rates (&gt;68%).</w:t>
            </w:r>
          </w:p>
        </w:tc>
        <w:tc>
          <w:tcPr>
            <w:tcW w:type="dxa" w:w="3744"/>
            <w:shd w:fill="F7F9FB"/>
            <w:tcMar>
              <w:top w:w="80" w:type="dxa"/>
              <w:bottom w:w="80" w:type="dxa"/>
              <w:left w:w="150" w:type="dxa"/>
              <w:right w:w="150" w:type="dxa"/>
            </w:tcMar>
          </w:tcPr>
          <w:p>
            <w:pPr>
              <w:jc w:val="left"/>
            </w:pPr>
            <w:r>
              <w:rPr>
                <w:rFonts w:ascii="Calibri" w:hAnsi="Calibri"/>
                <w:color w:val="282828"/>
                <w:sz w:val="19"/>
              </w:rPr>
              <w:t>Introduce targeted promotional discounts and seasonal day-train fare passes to capture inter-city passenger traffic from road transport.</w:t>
            </w:r>
          </w:p>
        </w:tc>
      </w:tr>
      <w:tr>
        <w:tc>
          <w:tcPr>
            <w:tcW w:type="dxa" w:w="2160"/>
            <w:shd w:fill="FFFFFF"/>
            <w:tcMar>
              <w:top w:w="80" w:type="dxa"/>
              <w:bottom w:w="80" w:type="dxa"/>
              <w:left w:w="150" w:type="dxa"/>
              <w:right w:w="150" w:type="dxa"/>
            </w:tcMar>
          </w:tcPr>
          <w:p>
            <w:pPr>
              <w:jc w:val="left"/>
            </w:pPr>
            <w:r>
              <w:rPr>
                <w:rFonts w:ascii="Calibri" w:hAnsi="Calibri"/>
                <w:color w:val="282828"/>
                <w:sz w:val="19"/>
              </w:rPr>
              <w:t>3. Satellite Terminal Offloading</w:t>
            </w:r>
          </w:p>
        </w:tc>
        <w:tc>
          <w:tcPr>
            <w:tcW w:type="dxa" w:w="3024"/>
            <w:shd w:fill="FFFFFF"/>
            <w:tcMar>
              <w:top w:w="80" w:type="dxa"/>
              <w:bottom w:w="80" w:type="dxa"/>
              <w:left w:w="150" w:type="dxa"/>
              <w:right w:w="150" w:type="dxa"/>
            </w:tcMar>
          </w:tcPr>
          <w:p>
            <w:pPr>
              <w:jc w:val="left"/>
            </w:pPr>
            <w:r>
              <w:rPr>
                <w:rFonts w:ascii="Calibri" w:hAnsi="Calibri"/>
                <w:color w:val="282828"/>
                <w:sz w:val="19"/>
              </w:rPr>
              <w:t>Metropolitan hubs (NDLS, HWH, CNB) face severe congestion.</w:t>
            </w:r>
          </w:p>
        </w:tc>
        <w:tc>
          <w:tcPr>
            <w:tcW w:type="dxa" w:w="3744"/>
            <w:shd w:fill="FFFFFF"/>
            <w:tcMar>
              <w:top w:w="80" w:type="dxa"/>
              <w:bottom w:w="80" w:type="dxa"/>
              <w:left w:w="150" w:type="dxa"/>
              <w:right w:w="150" w:type="dxa"/>
            </w:tcMar>
          </w:tcPr>
          <w:p>
            <w:pPr>
              <w:jc w:val="left"/>
            </w:pPr>
            <w:r>
              <w:rPr>
                <w:rFonts w:ascii="Calibri" w:hAnsi="Calibri"/>
                <w:color w:val="282828"/>
                <w:sz w:val="19"/>
              </w:rPr>
              <w:t>Divert terminating long-haul trains to satellite terminals (e.g., Anand Vihar for New Delhi, Shalimar for Howrah) to reduce platform wait times.</w:t>
            </w:r>
          </w:p>
        </w:tc>
      </w:tr>
      <w:tr>
        <w:tc>
          <w:tcPr>
            <w:tcW w:type="dxa" w:w="2160"/>
            <w:shd w:fill="F7F9FB"/>
            <w:tcMar>
              <w:top w:w="80" w:type="dxa"/>
              <w:bottom w:w="80" w:type="dxa"/>
              <w:left w:w="150" w:type="dxa"/>
              <w:right w:w="150" w:type="dxa"/>
            </w:tcMar>
          </w:tcPr>
          <w:p>
            <w:pPr>
              <w:jc w:val="left"/>
            </w:pPr>
            <w:r>
              <w:rPr>
                <w:rFonts w:ascii="Calibri" w:hAnsi="Calibri"/>
                <w:color w:val="282828"/>
                <w:sz w:val="19"/>
              </w:rPr>
              <w:t>4. Calibrated Flexi-Pricing</w:t>
            </w:r>
          </w:p>
        </w:tc>
        <w:tc>
          <w:tcPr>
            <w:tcW w:type="dxa" w:w="3024"/>
            <w:shd w:fill="F7F9FB"/>
            <w:tcMar>
              <w:top w:w="80" w:type="dxa"/>
              <w:bottom w:w="80" w:type="dxa"/>
              <w:left w:w="150" w:type="dxa"/>
              <w:right w:w="150" w:type="dxa"/>
            </w:tcMar>
          </w:tcPr>
          <w:p>
            <w:pPr>
              <w:jc w:val="left"/>
            </w:pPr>
            <w:r>
              <w:rPr>
                <w:rFonts w:ascii="Calibri" w:hAnsi="Calibri"/>
                <w:color w:val="282828"/>
                <w:sz w:val="19"/>
              </w:rPr>
              <w:t>Dynamic pricing currently has low penetration (mean ₹4.2).</w:t>
            </w:r>
          </w:p>
        </w:tc>
        <w:tc>
          <w:tcPr>
            <w:tcW w:type="dxa" w:w="3744"/>
            <w:shd w:fill="F7F9FB"/>
            <w:tcMar>
              <w:top w:w="80" w:type="dxa"/>
              <w:bottom w:w="80" w:type="dxa"/>
              <w:left w:w="150" w:type="dxa"/>
              <w:right w:w="150" w:type="dxa"/>
            </w:tcMar>
          </w:tcPr>
          <w:p>
            <w:pPr>
              <w:jc w:val="left"/>
            </w:pPr>
            <w:r>
              <w:rPr>
                <w:rFonts w:ascii="Calibri" w:hAnsi="Calibri"/>
                <w:color w:val="282828"/>
                <w:sz w:val="19"/>
              </w:rPr>
              <w:t>Expand calibrated flexi-fare algorithms on peak weekend services while maintaining strict price caps for affordable classes.</w:t>
            </w:r>
          </w:p>
        </w:tc>
      </w:tr>
    </w:tbl>
    <w:p>
      <w:pPr>
        <w:spacing w:after="120"/>
      </w:pPr>
    </w:p>
    <w:p>
      <w:r>
        <w:br w:type="page"/>
      </w:r>
    </w:p>
    <w:p>
      <w:pPr>
        <w:keepNext/>
        <w:spacing w:before="360" w:after="120"/>
      </w:pPr>
      <w:r>
        <w:rPr>
          <w:rFonts w:ascii="Calibri" w:hAnsi="Calibri"/>
          <w:b/>
          <w:color w:val="1B365D"/>
          <w:sz w:val="32"/>
        </w:rPr>
        <w:t>13. Project Limitations</w:t>
      </w:r>
    </w:p>
    <w:p>
      <w:pPr>
        <w:spacing w:line="276" w:lineRule="auto" w:after="120"/>
      </w:pPr>
      <w:r>
        <w:rPr>
          <w:rFonts w:ascii="Calibri" w:hAnsi="Calibri"/>
          <w:color w:val="282828"/>
          <w:sz w:val="22"/>
        </w:rPr>
        <w:t>1. Historical Static Snapshot: The dataset represents a point-in-time snapshot and does not capture real-time seasonal variations (such as Diwali or Chhath festival surges).</w:t>
      </w:r>
    </w:p>
    <w:p>
      <w:pPr>
        <w:spacing w:line="276" w:lineRule="auto" w:after="120"/>
      </w:pPr>
      <w:r>
        <w:rPr>
          <w:rFonts w:ascii="Calibri" w:hAnsi="Calibri"/>
          <w:color w:val="282828"/>
          <w:sz w:val="22"/>
        </w:rPr>
        <w:t>2. Absence of Passenger Demographics: The dataset lacks individual passenger attributes (age, gender, booking channel, travel purpose).</w:t>
      </w:r>
    </w:p>
    <w:p>
      <w:pPr>
        <w:spacing w:line="276" w:lineRule="auto" w:after="120"/>
      </w:pPr>
      <w:r>
        <w:rPr>
          <w:rFonts w:ascii="Calibri" w:hAnsi="Calibri"/>
          <w:color w:val="282828"/>
          <w:sz w:val="22"/>
        </w:rPr>
        <w:t>3. Lack of Waitlist Confirmation Trajectories: Final PNR clearing trajectories and ticket cancellation histories are not included.</w:t>
      </w:r>
    </w:p>
    <w:p>
      <w:pPr>
        <w:spacing w:line="276" w:lineRule="auto" w:after="120"/>
      </w:pPr>
      <w:r>
        <w:rPr>
          <w:rFonts w:ascii="Calibri" w:hAnsi="Calibri"/>
          <w:color w:val="282828"/>
          <w:sz w:val="22"/>
        </w:rPr>
        <w:t>4. No Gross Revenue Figures: The data captures per-ticket price tariffs rather than train-level or coach-level gross passenger revenue.</w:t>
      </w:r>
    </w:p>
    <w:p>
      <w:pPr>
        <w:keepNext/>
        <w:spacing w:before="360" w:after="120"/>
      </w:pPr>
      <w:r>
        <w:rPr>
          <w:rFonts w:ascii="Calibri" w:hAnsi="Calibri"/>
          <w:b/>
          <w:color w:val="1B365D"/>
          <w:sz w:val="32"/>
        </w:rPr>
        <w:t>14. Future Scope</w:t>
      </w:r>
    </w:p>
    <w:p>
      <w:pPr>
        <w:spacing w:line="276" w:lineRule="auto" w:after="120"/>
      </w:pPr>
      <w:r>
        <w:rPr>
          <w:rFonts w:ascii="Calibri" w:hAnsi="Calibri"/>
          <w:color w:val="282828"/>
          <w:sz w:val="22"/>
        </w:rPr>
        <w:t>1. Dynamic PNR Confirmation Forecasting: Train deep learning classifiers on historical PNR tracking datasets to predict waitlist confirmation probabilities.</w:t>
      </w:r>
    </w:p>
    <w:p>
      <w:pPr>
        <w:spacing w:line="276" w:lineRule="auto" w:after="120"/>
      </w:pPr>
      <w:r>
        <w:rPr>
          <w:rFonts w:ascii="Calibri" w:hAnsi="Calibri"/>
          <w:color w:val="282828"/>
          <w:sz w:val="22"/>
        </w:rPr>
        <w:t>2. Real-Time Delay Prediction: Integrate live GPS tracking and weather telemetry to model and forecast train arrival delays.</w:t>
      </w:r>
    </w:p>
    <w:p>
      <w:pPr>
        <w:spacing w:line="276" w:lineRule="auto" w:after="120"/>
      </w:pPr>
      <w:r>
        <w:rPr>
          <w:rFonts w:ascii="Calibri" w:hAnsi="Calibri"/>
          <w:color w:val="282828"/>
          <w:sz w:val="22"/>
        </w:rPr>
        <w:t>3. Interactive BI Dashboards: Build interactive Power BI or Streamlit dashboards for real-time station congestion monitoring and fare comparison.</w:t>
      </w:r>
    </w:p>
    <w:p>
      <w:pPr>
        <w:spacing w:line="276" w:lineRule="auto" w:after="120"/>
      </w:pPr>
      <w:r>
        <w:rPr>
          <w:rFonts w:ascii="Calibri" w:hAnsi="Calibri"/>
          <w:color w:val="282828"/>
          <w:sz w:val="22"/>
        </w:rPr>
        <w:t>4. Route Rake Optimization: Apply mathematical linear programming to optimize rolling stock coach allocations based on route demand elasticity.</w:t>
      </w:r>
    </w:p>
    <w:p>
      <w:pPr>
        <w:keepNext/>
        <w:spacing w:before="360" w:after="120"/>
      </w:pPr>
      <w:r>
        <w:rPr>
          <w:rFonts w:ascii="Calibri" w:hAnsi="Calibri"/>
          <w:b/>
          <w:color w:val="1B365D"/>
          <w:sz w:val="32"/>
        </w:rPr>
        <w:t>15. Final Conclusion</w:t>
      </w:r>
    </w:p>
    <w:p>
      <w:pPr>
        <w:spacing w:line="276" w:lineRule="auto" w:after="120"/>
      </w:pPr>
      <w:r>
        <w:rPr>
          <w:rFonts w:ascii="Calibri" w:hAnsi="Calibri"/>
          <w:color w:val="282828"/>
          <w:sz w:val="22"/>
        </w:rPr>
        <w:t>This project delivered a rigorous, end-to-end data analytics and machine learning investigation of Indian Railways scheduling, pricing, and availability records. By resolving data quality issues, engineering key operational metrics, and conducting extensive exploratory analyses, the study uncovered key dynamics governing passenger rail operations in India.</w:t>
      </w:r>
    </w:p>
    <w:p>
      <w:pPr>
        <w:spacing w:line="276" w:lineRule="auto" w:after="120"/>
      </w:pPr>
      <w:r>
        <w:rPr>
          <w:rFonts w:ascii="Calibri" w:hAnsi="Calibri"/>
          <w:color w:val="282828"/>
          <w:sz w:val="22"/>
        </w:rPr>
        <w:t>The analysis revealed clear capacity imbalances between high-demand overnight classes and underutilized daytime seating services. Machine learning benchmarking proved that ticket fares can be predicted with high precision using ensemble methods (Random Forest R² = 0.9838, RMSE = ₹110.75). The resulting recommendations provide actionable pathways for capacity augmentation, terminal decongestion, and data-driven revenue management.</w:t>
      </w:r>
    </w:p>
    <w:p>
      <w:pPr>
        <w:keepNext/>
        <w:spacing w:before="360" w:after="120"/>
      </w:pPr>
      <w:r>
        <w:rPr>
          <w:rFonts w:ascii="Calibri" w:hAnsi="Calibri"/>
          <w:b/>
          <w:color w:val="1B365D"/>
          <w:sz w:val="32"/>
        </w:rPr>
        <w:t>16. References</w:t>
      </w:r>
    </w:p>
    <w:p>
      <w:pPr>
        <w:spacing w:line="276" w:lineRule="auto" w:after="120"/>
      </w:pPr>
      <w:r>
        <w:rPr>
          <w:rFonts w:ascii="Calibri" w:hAnsi="Calibri"/>
          <w:color w:val="282828"/>
          <w:sz w:val="22"/>
        </w:rPr>
        <w:t>1. Dev, Bhavyaraj. (2023). Indian Railways Schedule-Prices-Availability Data. Kaggle. Available at: https://www.kaggle.com/datasets/bhavyarajdev/indian-railways-schedule-prices-availability-data</w:t>
      </w:r>
    </w:p>
    <w:p>
      <w:pPr>
        <w:spacing w:line="276" w:lineRule="auto" w:after="120"/>
      </w:pPr>
      <w:r>
        <w:rPr>
          <w:rFonts w:ascii="Calibri" w:hAnsi="Calibri"/>
          <w:color w:val="282828"/>
          <w:sz w:val="22"/>
        </w:rPr>
        <w:t>2. Ministry of Railways, Government of India. (2023). Indian Railways Year Book 2022-23. Railway Board, New Delhi.</w:t>
      </w:r>
    </w:p>
    <w:p>
      <w:pPr>
        <w:spacing w:line="276" w:lineRule="auto" w:after="120"/>
      </w:pPr>
      <w:r>
        <w:rPr>
          <w:rFonts w:ascii="Calibri" w:hAnsi="Calibri"/>
          <w:color w:val="282828"/>
          <w:sz w:val="22"/>
        </w:rPr>
        <w:t>3. Indian Railway Catering and Tourism Corporation (IRCTC). (2024). E-Ticketing Operations and Passenger Reservation System Documentation. New Delhi.</w:t>
      </w:r>
    </w:p>
    <w:p>
      <w:pPr>
        <w:spacing w:line="276" w:lineRule="auto" w:after="120"/>
      </w:pPr>
      <w:r>
        <w:rPr>
          <w:rFonts w:ascii="Calibri" w:hAnsi="Calibri"/>
          <w:color w:val="282828"/>
          <w:sz w:val="22"/>
        </w:rPr>
        <w:t>4. McKinney, Wes. (2022). Python for Data Analysis: Data Wrangling with Pandas, NumPy, and Jupyter (3rd ed.). O'Reilly Media.</w:t>
      </w:r>
    </w:p>
    <w:p>
      <w:pPr>
        <w:spacing w:line="276" w:lineRule="auto" w:after="120"/>
      </w:pPr>
      <w:r>
        <w:rPr>
          <w:rFonts w:ascii="Calibri" w:hAnsi="Calibri"/>
          <w:color w:val="282828"/>
          <w:sz w:val="22"/>
        </w:rPr>
        <w:t>5. Pedregosa, F. et al. (2011). Scikit-learn: Machine Learning in Python. Journal of Machine Learning Research,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