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8"/>
        </w:rPr>
        <w:t>TECHNICAL IMPLEMENTATION REPORT</w:t>
      </w:r>
    </w:p>
    <w:p>
      <w:pPr>
        <w:jc w:val="center"/>
      </w:pPr>
      <w:r>
        <w:rPr>
          <w:rFonts w:ascii="Calibri" w:hAnsi="Calibri"/>
          <w:i/>
          <w:color w:val="4A5568"/>
          <w:sz w:val="28"/>
        </w:rPr>
        <w:t>Adaptive Risk Thresholding Mechanism &amp; Historical Risk Store</w:t>
        <w:br/>
        <w:t>Intelliview Orchestrator Risk Scoring Engine</w:t>
      </w:r>
    </w:p>
    <w:p>
      <w:pPr>
        <w:jc w:val="center"/>
      </w:pPr>
      <w:r>
        <w:rPr>
          <w:color w:val="CBD5E0"/>
        </w:rPr>
        <w:t>――――――――――――――――――――――――――――――――――――――――</w:t>
      </w:r>
    </w:p>
    <w:p>
      <w:pPr>
        <w:spacing w:before="280" w:after="80"/>
      </w:pPr>
      <w:r>
        <w:rPr>
          <w:rFonts w:ascii="Calibri" w:hAnsi="Calibri"/>
          <w:b/>
          <w:color w:val="1B365D"/>
          <w:sz w:val="32"/>
        </w:rPr>
        <w:t>1. Executive Summary</w:t>
      </w:r>
    </w:p>
    <w:p>
      <w:pPr>
        <w:spacing w:after="80" w:line="276" w:lineRule="auto"/>
      </w:pPr>
      <w:r>
        <w:rPr>
          <w:rFonts w:ascii="Calibri" w:hAnsi="Calibri"/>
          <w:color w:val="2D3748"/>
          <w:sz w:val="22"/>
        </w:rPr>
        <w:t>This document details the design, implementation, and verification of the Adaptive Risk Thresholding Mechanism integrated into the Intelliview Orchestrator risk scoring engine. The feature transitions the system from static, hardcoded risk boundaries (LOW: 0.3, MEDIUM: 0.6, HIGH: 0.8) to a dynamic, historical-data-driven classification architecture capable of learning and adjusting thresholds automatically as interview datasets grow over time.</w:t>
      </w:r>
    </w:p>
    <w:p>
      <w:pPr>
        <w:spacing w:before="280" w:after="80"/>
      </w:pPr>
      <w:r>
        <w:rPr>
          <w:rFonts w:ascii="Calibri" w:hAnsi="Calibri"/>
          <w:b/>
          <w:color w:val="1B365D"/>
          <w:sz w:val="32"/>
        </w:rPr>
        <w:t>2. Problem Statement &amp; Objectives</w:t>
      </w:r>
    </w:p>
    <w:p>
      <w:pPr>
        <w:spacing w:after="80" w:line="276" w:lineRule="auto"/>
      </w:pPr>
      <w:r>
        <w:rPr>
          <w:rFonts w:ascii="Calibri" w:hAnsi="Calibri"/>
          <w:color w:val="2D3748"/>
          <w:sz w:val="22"/>
        </w:rPr>
        <w:t>Prior to this enhancement, the interview orchestrator evaluated interview fraud/risk scores using fixed static cutoffs. Over extended operational deployment, fixed thresholds fail to capture shifts in underlying score distributions, potentially resulting in misclassifications (false positives or false negatives).</w:t>
      </w:r>
    </w:p>
    <w:p>
      <w:pPr>
        <w:spacing w:after="80" w:line="276" w:lineRule="auto"/>
      </w:pPr>
      <w:r>
        <w:rPr>
          <w:rFonts w:ascii="Calibri" w:hAnsi="Calibri"/>
          <w:b/>
          <w:color w:val="2D3748"/>
          <w:sz w:val="22"/>
        </w:rPr>
        <w:t xml:space="preserve">Key Objectives: </w:t>
      </w:r>
      <w:r>
        <w:rPr>
          <w:rFonts w:ascii="Calibri" w:hAnsi="Calibri"/>
          <w:color w:val="2D3748"/>
          <w:sz w:val="22"/>
        </w:rPr>
        <w:t>The primary objectives were:</w:t>
      </w:r>
    </w:p>
    <w:p>
      <w:pPr>
        <w:pStyle w:val="ListBullet"/>
        <w:spacing w:after="60" w:line="276" w:lineRule="auto"/>
      </w:pPr>
      <w:r>
        <w:rPr>
          <w:rFonts w:ascii="Calibri" w:hAnsi="Calibri"/>
          <w:b/>
          <w:color w:val="2D3748"/>
          <w:sz w:val="22"/>
        </w:rPr>
        <w:t xml:space="preserve">Historical Tracking: </w:t>
      </w:r>
      <w:r>
        <w:rPr>
          <w:rFonts w:ascii="Calibri" w:hAnsi="Calibri"/>
          <w:color w:val="2D3748"/>
          <w:sz w:val="22"/>
        </w:rPr>
        <w:t>Persist generated interview risk scores to a dedicated historical database store.</w:t>
      </w:r>
    </w:p>
    <w:p>
      <w:pPr>
        <w:pStyle w:val="ListBullet"/>
        <w:spacing w:after="60" w:line="276" w:lineRule="auto"/>
      </w:pPr>
      <w:r>
        <w:rPr>
          <w:rFonts w:ascii="Calibri" w:hAnsi="Calibri"/>
          <w:b/>
          <w:color w:val="2D3748"/>
          <w:sz w:val="22"/>
        </w:rPr>
        <w:t xml:space="preserve">Dynamic Calibration: </w:t>
      </w:r>
      <w:r>
        <w:rPr>
          <w:rFonts w:ascii="Calibri" w:hAnsi="Calibri"/>
          <w:color w:val="2D3748"/>
          <w:sz w:val="22"/>
        </w:rPr>
        <w:t>Compute statistical thresholds (LOW, MEDIUM, HIGH) dynamically based on historical distributions.</w:t>
      </w:r>
    </w:p>
    <w:p>
      <w:pPr>
        <w:pStyle w:val="ListBullet"/>
        <w:spacing w:after="60" w:line="276" w:lineRule="auto"/>
      </w:pPr>
      <w:r>
        <w:rPr>
          <w:rFonts w:ascii="Calibri" w:hAnsi="Calibri"/>
          <w:b/>
          <w:color w:val="2D3748"/>
          <w:sz w:val="22"/>
        </w:rPr>
        <w:t xml:space="preserve">Modular Design: </w:t>
      </w:r>
      <w:r>
        <w:rPr>
          <w:rFonts w:ascii="Calibri" w:hAnsi="Calibri"/>
          <w:color w:val="2D3748"/>
          <w:sz w:val="22"/>
        </w:rPr>
        <w:t>Support multiple threshold calculation strategies (Percentile, Moving Average, Rolling Window, Fixed).</w:t>
      </w:r>
    </w:p>
    <w:p>
      <w:pPr>
        <w:pStyle w:val="ListBullet"/>
        <w:spacing w:after="60" w:line="276" w:lineRule="auto"/>
      </w:pPr>
      <w:r>
        <w:rPr>
          <w:rFonts w:ascii="Calibri" w:hAnsi="Calibri"/>
          <w:b/>
          <w:color w:val="2D3748"/>
          <w:sz w:val="22"/>
        </w:rPr>
        <w:t xml:space="preserve">Workflow Safety: </w:t>
      </w:r>
      <w:r>
        <w:rPr>
          <w:rFonts w:ascii="Calibri" w:hAnsi="Calibri"/>
          <w:color w:val="2D3748"/>
          <w:sz w:val="22"/>
        </w:rPr>
        <w:t>Maintain 100% backward compatibility and fallback mechanisms for low sample sizes or offline DB operations.</w:t>
      </w:r>
    </w:p>
    <w:p>
      <w:pPr>
        <w:spacing w:before="280" w:after="80"/>
      </w:pPr>
      <w:r>
        <w:rPr>
          <w:rFonts w:ascii="Calibri" w:hAnsi="Calibri"/>
          <w:b/>
          <w:color w:val="1B365D"/>
          <w:sz w:val="32"/>
        </w:rPr>
        <w:t>3. System Architecture &amp; Components</w:t>
      </w:r>
    </w:p>
    <w:p>
      <w:pPr>
        <w:spacing w:after="80" w:line="276" w:lineRule="auto"/>
      </w:pPr>
      <w:r>
        <w:rPr>
          <w:rFonts w:ascii="Calibri" w:hAnsi="Calibri"/>
          <w:color w:val="2D3748"/>
          <w:sz w:val="22"/>
        </w:rPr>
        <w:t>The implementation follows the Strategy Design Pattern to separate threshold calculation algorithms from risk report generation.</w:t>
      </w:r>
    </w:p>
    <w:p>
      <w:pPr>
        <w:spacing w:before="200" w:after="40"/>
      </w:pPr>
      <w:r>
        <w:rPr>
          <w:rFonts w:ascii="Calibri" w:hAnsi="Calibri"/>
          <w:b/>
          <w:color w:val="2B6CB0"/>
          <w:sz w:val="26"/>
        </w:rPr>
        <w:t>3.1 Database &amp; Historical Risk Store</w:t>
      </w:r>
    </w:p>
    <w:p>
      <w:pPr>
        <w:pStyle w:val="ListBullet"/>
        <w:spacing w:after="60" w:line="276" w:lineRule="auto"/>
      </w:pPr>
      <w:r>
        <w:rPr>
          <w:rFonts w:ascii="Calibri" w:hAnsi="Calibri"/>
          <w:b/>
          <w:color w:val="2D3748"/>
          <w:sz w:val="22"/>
        </w:rPr>
        <w:t xml:space="preserve">RiskScoreHistory Model (database/models.py): </w:t>
      </w:r>
      <w:r>
        <w:rPr>
          <w:rFonts w:ascii="Calibri" w:hAnsi="Calibri"/>
          <w:color w:val="2D3748"/>
          <w:sz w:val="22"/>
        </w:rPr>
        <w:t>SQLAlchemy ORM model defining id (Primary Key), session_id, risk_score (Float), and created_at (DateTime).</w:t>
      </w:r>
    </w:p>
    <w:p>
      <w:pPr>
        <w:pStyle w:val="ListBullet"/>
        <w:spacing w:after="60" w:line="276" w:lineRule="auto"/>
      </w:pPr>
      <w:r>
        <w:rPr>
          <w:rFonts w:ascii="Calibri" w:hAnsi="Calibri"/>
          <w:b/>
          <w:color w:val="2D3748"/>
          <w:sz w:val="22"/>
        </w:rPr>
        <w:t xml:space="preserve">HistoricalRiskStore (workers/adaptive_thresholds.py): </w:t>
      </w:r>
      <w:r>
        <w:rPr>
          <w:rFonts w:ascii="Calibri" w:hAnsi="Calibri"/>
          <w:color w:val="2D3748"/>
          <w:sz w:val="22"/>
        </w:rPr>
        <w:t>Dual-layer storage abstraction that retains scores in memory and asynchronously persists entries to PostgreSQL/SQLAlchemy DB sessions.</w:t>
      </w:r>
    </w:p>
    <w:p>
      <w:pPr>
        <w:spacing w:before="200" w:after="40"/>
      </w:pPr>
      <w:r>
        <w:rPr>
          <w:rFonts w:ascii="Calibri" w:hAnsi="Calibri"/>
          <w:b/>
          <w:color w:val="2B6CB0"/>
          <w:sz w:val="26"/>
        </w:rPr>
        <w:t>3.2 Strategy Pattern Implementations</w:t>
      </w:r>
    </w:p>
    <w:p>
      <w:pPr>
        <w:pStyle w:val="ListBullet"/>
        <w:spacing w:after="60" w:line="276" w:lineRule="auto"/>
      </w:pPr>
      <w:r>
        <w:rPr>
          <w:rFonts w:ascii="Calibri" w:hAnsi="Calibri"/>
          <w:b/>
          <w:color w:val="2D3748"/>
          <w:sz w:val="22"/>
        </w:rPr>
        <w:t xml:space="preserve">PercentileThresholdStrategy: </w:t>
      </w:r>
      <w:r>
        <w:rPr>
          <w:rFonts w:ascii="Calibri" w:hAnsi="Calibri"/>
          <w:color w:val="2D3748"/>
          <w:sz w:val="22"/>
        </w:rPr>
        <w:t>Calculates thresholds based on configurable score quantiles (default: 60% -&gt; LOW, 85% -&gt; MEDIUM, 95% -&gt; HIGH). Uses pure-Python linear interpolation (calculate_quantile) to eliminate heavy external dependencies.</w:t>
      </w:r>
    </w:p>
    <w:p>
      <w:pPr>
        <w:pStyle w:val="ListBullet"/>
        <w:spacing w:after="60" w:line="276" w:lineRule="auto"/>
      </w:pPr>
      <w:r>
        <w:rPr>
          <w:rFonts w:ascii="Calibri" w:hAnsi="Calibri"/>
          <w:b/>
          <w:color w:val="2D3748"/>
          <w:sz w:val="22"/>
        </w:rPr>
        <w:t xml:space="preserve">MovingAverageThresholdStrategy: </w:t>
      </w:r>
      <w:r>
        <w:rPr>
          <w:rFonts w:ascii="Calibri" w:hAnsi="Calibri"/>
          <w:color w:val="2D3748"/>
          <w:sz w:val="22"/>
        </w:rPr>
        <w:t>Determines boundaries using statistical mean score and standard deviation multipliers (LOW: mean, MEDIUM: mean + 1.0*std, HIGH: mean + 2.0*std).</w:t>
      </w:r>
    </w:p>
    <w:p>
      <w:pPr>
        <w:pStyle w:val="ListBullet"/>
        <w:spacing w:after="60" w:line="276" w:lineRule="auto"/>
      </w:pPr>
      <w:r>
        <w:rPr>
          <w:rFonts w:ascii="Calibri" w:hAnsi="Calibri"/>
          <w:b/>
          <w:color w:val="2D3748"/>
          <w:sz w:val="22"/>
        </w:rPr>
        <w:t xml:space="preserve">RollingWindowThresholdStrategy: </w:t>
      </w:r>
      <w:r>
        <w:rPr>
          <w:rFonts w:ascii="Calibri" w:hAnsi="Calibri"/>
          <w:color w:val="2D3748"/>
          <w:sz w:val="22"/>
        </w:rPr>
        <w:t>Wraps any inner strategy to evaluate calculations strictly over the N most recent interviews.</w:t>
      </w:r>
    </w:p>
    <w:p>
      <w:pPr>
        <w:pStyle w:val="ListBullet"/>
        <w:spacing w:after="60" w:line="276" w:lineRule="auto"/>
      </w:pPr>
      <w:r>
        <w:rPr>
          <w:rFonts w:ascii="Calibri" w:hAnsi="Calibri"/>
          <w:b/>
          <w:color w:val="2D3748"/>
          <w:sz w:val="22"/>
        </w:rPr>
        <w:t xml:space="preserve">FixedThresholdStrategy: </w:t>
      </w:r>
      <w:r>
        <w:rPr>
          <w:rFonts w:ascii="Calibri" w:hAnsi="Calibri"/>
          <w:color w:val="2D3748"/>
          <w:sz w:val="22"/>
        </w:rPr>
        <w:t>Provides deterministic static fallback thresholds when adaptive mode is disabled or insufficient samples exist.</w:t>
      </w:r>
    </w:p>
    <w:p>
      <w:pPr>
        <w:spacing w:before="200" w:after="40"/>
      </w:pPr>
      <w:r>
        <w:rPr>
          <w:rFonts w:ascii="Calibri" w:hAnsi="Calibri"/>
          <w:b/>
          <w:color w:val="2B6CB0"/>
          <w:sz w:val="26"/>
        </w:rPr>
        <w:t>3.3 Adaptive Threshold Manager &amp; Risk Engine</w:t>
      </w:r>
    </w:p>
    <w:p>
      <w:pPr>
        <w:spacing w:after="80" w:line="276" w:lineRule="auto"/>
      </w:pPr>
      <w:r>
        <w:rPr>
          <w:rFonts w:ascii="Calibri" w:hAnsi="Calibri"/>
          <w:color w:val="2D3748"/>
          <w:sz w:val="22"/>
        </w:rPr>
        <w:t>The AdaptiveThresholdManager acts as the central coordinator. It tracks the number of incoming interview scores, handles recalculation intervals (recalc_interval), enforces minimum historical sample thresholds (min_samples = 10), and caches active boundary values.</w:t>
      </w:r>
    </w:p>
    <w:p>
      <w:pPr>
        <w:spacing w:after="80" w:line="276" w:lineRule="auto"/>
      </w:pPr>
      <w:r>
        <w:rPr>
          <w:rFonts w:ascii="Calibri" w:hAnsi="Calibri"/>
          <w:color w:val="2D3748"/>
          <w:sz w:val="22"/>
        </w:rPr>
        <w:t>In RiskScoringEngine.generate_risk_report(), every newly calculated risk score is automatically recorded in the store, dynamic boundaries are updated, and the active thresholds are returned inside the thresholds_used metadata payload.</w:t>
      </w:r>
    </w:p>
    <w:p>
      <w:pPr>
        <w:spacing w:before="280" w:after="80"/>
      </w:pPr>
      <w:r>
        <w:rPr>
          <w:rFonts w:ascii="Calibri" w:hAnsi="Calibri"/>
          <w:b/>
          <w:color w:val="1B365D"/>
          <w:sz w:val="32"/>
        </w:rPr>
        <w:t>4. Configuration &amp; Environment Settings</w:t>
      </w:r>
    </w:p>
    <w:p>
      <w:pPr>
        <w:spacing w:after="80" w:line="276" w:lineRule="auto"/>
      </w:pPr>
      <w:r>
        <w:rPr>
          <w:rFonts w:ascii="Calibri" w:hAnsi="Calibri"/>
          <w:color w:val="2D3748"/>
          <w:sz w:val="22"/>
        </w:rPr>
        <w:t>The system exposes environment variables managed via RISK_CONFIG in workers/risk_engine.py:</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B365D"/>
          </w:tcPr>
          <w:p>
            <w:pPr>
              <w:spacing w:after="0" w:line="252" w:lineRule="auto"/>
            </w:pPr>
            <w:r>
              <w:rPr>
                <w:rFonts w:ascii="Calibri" w:hAnsi="Calibri"/>
                <w:b/>
                <w:color w:val="FFFFFF"/>
                <w:sz w:val="19"/>
              </w:rPr>
              <w:t>Environment Variable</w:t>
            </w:r>
          </w:p>
        </w:tc>
        <w:tc>
          <w:tcPr>
            <w:tcW w:type="dxa" w:w="3120"/>
            <w:tcMar>
              <w:top w:w="80" w:type="dxa"/>
              <w:bottom w:w="80" w:type="dxa"/>
              <w:left w:w="120" w:type="dxa"/>
              <w:right w:w="120" w:type="dxa"/>
            </w:tcMar>
            <w:shd w:fill="1B365D"/>
          </w:tcPr>
          <w:p>
            <w:pPr>
              <w:spacing w:after="0" w:line="252" w:lineRule="auto"/>
            </w:pPr>
            <w:r>
              <w:rPr>
                <w:rFonts w:ascii="Calibri" w:hAnsi="Calibri"/>
                <w:b/>
                <w:color w:val="FFFFFF"/>
                <w:sz w:val="19"/>
              </w:rPr>
              <w:t>Default Value</w:t>
            </w:r>
          </w:p>
        </w:tc>
        <w:tc>
          <w:tcPr>
            <w:tcW w:type="dxa" w:w="3120"/>
            <w:tcMar>
              <w:top w:w="80" w:type="dxa"/>
              <w:bottom w:w="80" w:type="dxa"/>
              <w:left w:w="120" w:type="dxa"/>
              <w:right w:w="120" w:type="dxa"/>
            </w:tcMar>
            <w:shd w:fill="1B365D"/>
          </w:tcPr>
          <w:p>
            <w:pPr>
              <w:spacing w:after="0" w:line="252" w:lineRule="auto"/>
            </w:pPr>
            <w:r>
              <w:rPr>
                <w:rFonts w:ascii="Calibri" w:hAnsi="Calibri"/>
                <w:b/>
                <w:color w:val="FFFFFF"/>
                <w:sz w:val="19"/>
              </w:rPr>
              <w:t>Description</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RISK_ADAPTIVE_THRESHOLDS_ENABLED</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true</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Enables or disables dynamic adaptive thresholding</w:t>
            </w:r>
          </w:p>
        </w:tc>
      </w:tr>
      <w:tr>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RISK_THRESHOLD_STRATEGY</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percentile</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Selected strategy (percentile, moving_average, rolling_window, fixed)</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RISK_MIN_HISTORICAL_SAMPLES</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10</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Minimum score count required before enabling dynamic tuning</w:t>
            </w:r>
          </w:p>
        </w:tc>
      </w:tr>
      <w:tr>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RISK_LOW_PERCENTILE</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0.60</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Quantile boundary for LOW risk classification</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RISK_MEDIUM_PERCENTILE</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0.85</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Quantile boundary for MEDIUM risk classification</w:t>
            </w:r>
          </w:p>
        </w:tc>
      </w:tr>
      <w:tr>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RISK_HIGH_PERCENTILE</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0.95</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Quantile boundary for HIGH risk classification</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RISK_ROLLING_WINDOW_SIZE</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100</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Sample window size for rolling strategy</w:t>
            </w:r>
          </w:p>
        </w:tc>
      </w:tr>
      <w:tr>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RISK_RECALC_INTERVAL</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1</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Recalculation frequency (interviews between threshold updates)</w:t>
            </w:r>
          </w:p>
        </w:tc>
      </w:tr>
    </w:tbl>
    <w:p>
      <w:pPr>
        <w:spacing w:before="280" w:after="80"/>
      </w:pPr>
      <w:r>
        <w:rPr>
          <w:rFonts w:ascii="Calibri" w:hAnsi="Calibri"/>
          <w:b/>
          <w:color w:val="1B365D"/>
          <w:sz w:val="32"/>
        </w:rPr>
        <w:t>5. Verification &amp; Unit Testing Results</w:t>
      </w:r>
    </w:p>
    <w:p>
      <w:pPr>
        <w:spacing w:after="80" w:line="276" w:lineRule="auto"/>
      </w:pPr>
      <w:r>
        <w:rPr>
          <w:rFonts w:ascii="Calibri" w:hAnsi="Calibri"/>
          <w:color w:val="2D3748"/>
          <w:sz w:val="22"/>
        </w:rPr>
        <w:t>A comprehensive unit test suite was implemented in tests/test_unit_adaptive_thresholds.py to validate mathematical accuracy, strategy behavior, boundary clamping, and workflow integration.</w:t>
      </w:r>
    </w:p>
    <w:p>
      <w:pPr>
        <w:pStyle w:val="ListBullet"/>
        <w:spacing w:after="60" w:line="276" w:lineRule="auto"/>
      </w:pPr>
      <w:r>
        <w:rPr>
          <w:rFonts w:ascii="Calibri" w:hAnsi="Calibri"/>
          <w:b/>
          <w:color w:val="2D3748"/>
          <w:sz w:val="22"/>
        </w:rPr>
        <w:t xml:space="preserve">Boundary Validation: </w:t>
      </w:r>
      <w:r>
        <w:rPr>
          <w:rFonts w:ascii="Calibri" w:hAnsi="Calibri"/>
          <w:color w:val="2D3748"/>
          <w:sz w:val="22"/>
        </w:rPr>
        <w:t>RiskThresholds boundary clamping (0.0 &lt;= low &lt;= medium &lt;= high &lt;= 1.0)</w:t>
      </w:r>
    </w:p>
    <w:p>
      <w:pPr>
        <w:pStyle w:val="ListBullet"/>
        <w:spacing w:after="60" w:line="276" w:lineRule="auto"/>
      </w:pPr>
      <w:r>
        <w:rPr>
          <w:rFonts w:ascii="Calibri" w:hAnsi="Calibri"/>
          <w:b/>
          <w:color w:val="2D3748"/>
          <w:sz w:val="22"/>
        </w:rPr>
        <w:t xml:space="preserve">Quantile Accuracy: </w:t>
      </w:r>
      <w:r>
        <w:rPr>
          <w:rFonts w:ascii="Calibri" w:hAnsi="Calibri"/>
          <w:color w:val="2D3748"/>
          <w:sz w:val="22"/>
        </w:rPr>
        <w:t>Linear quantile interpolation across empty, single-item, and multi-item distributions.</w:t>
      </w:r>
    </w:p>
    <w:p>
      <w:pPr>
        <w:pStyle w:val="ListBullet"/>
        <w:spacing w:after="60" w:line="276" w:lineRule="auto"/>
      </w:pPr>
      <w:r>
        <w:rPr>
          <w:rFonts w:ascii="Calibri" w:hAnsi="Calibri"/>
          <w:b/>
          <w:color w:val="2D3748"/>
          <w:sz w:val="22"/>
        </w:rPr>
        <w:t xml:space="preserve">Strategy Testing: </w:t>
      </w:r>
      <w:r>
        <w:rPr>
          <w:rFonts w:ascii="Calibri" w:hAnsi="Calibri"/>
          <w:color w:val="2D3748"/>
          <w:sz w:val="22"/>
        </w:rPr>
        <w:t>Percentile, Moving Average, and Rolling Window calculation algorithms.</w:t>
      </w:r>
    </w:p>
    <w:p>
      <w:pPr>
        <w:pStyle w:val="ListBullet"/>
        <w:spacing w:after="60" w:line="276" w:lineRule="auto"/>
      </w:pPr>
      <w:r>
        <w:rPr>
          <w:rFonts w:ascii="Calibri" w:hAnsi="Calibri"/>
          <w:b/>
          <w:color w:val="2D3748"/>
          <w:sz w:val="22"/>
        </w:rPr>
        <w:t xml:space="preserve">Sample Fallback: </w:t>
      </w:r>
      <w:r>
        <w:rPr>
          <w:rFonts w:ascii="Calibri" w:hAnsi="Calibri"/>
          <w:color w:val="2D3748"/>
          <w:sz w:val="22"/>
        </w:rPr>
        <w:t>Fallback to static thresholds when total historical samples &lt; min_samples.</w:t>
      </w:r>
    </w:p>
    <w:p>
      <w:pPr>
        <w:pStyle w:val="ListBullet"/>
        <w:spacing w:after="60" w:line="276" w:lineRule="auto"/>
      </w:pPr>
      <w:r>
        <w:rPr>
          <w:rFonts w:ascii="Calibri" w:hAnsi="Calibri"/>
          <w:b/>
          <w:color w:val="2D3748"/>
          <w:sz w:val="22"/>
        </w:rPr>
        <w:t xml:space="preserve">Report Integration: </w:t>
      </w:r>
      <w:r>
        <w:rPr>
          <w:rFonts w:ascii="Calibri" w:hAnsi="Calibri"/>
          <w:color w:val="2D3748"/>
          <w:sz w:val="22"/>
        </w:rPr>
        <w:t>Verification of thresholds_used dictionary in generated risk reports.</w:t>
      </w:r>
    </w:p>
    <w:p>
      <w:pPr>
        <w:spacing w:after="80" w:line="276" w:lineRule="auto"/>
      </w:pPr>
      <w:r>
        <w:rPr>
          <w:rFonts w:ascii="Calibri" w:hAnsi="Calibri"/>
          <w:b/>
          <w:color w:val="2D3748"/>
          <w:sz w:val="22"/>
        </w:rPr>
        <w:t xml:space="preserve">Test Execution Result: </w:t>
      </w:r>
      <w:r>
        <w:rPr>
          <w:rFonts w:ascii="Calibri" w:hAnsi="Calibri"/>
          <w:color w:val="2D3748"/>
          <w:sz w:val="22"/>
        </w:rPr>
        <w:t>All 11 adaptive threshold unit tests and all 66 total unit tests across the repository pass cleanly.</w:t>
      </w:r>
    </w:p>
    <w:p>
      <w:pPr>
        <w:spacing w:before="280" w:after="80"/>
      </w:pPr>
      <w:r>
        <w:rPr>
          <w:rFonts w:ascii="Calibri" w:hAnsi="Calibri"/>
          <w:b/>
          <w:color w:val="1B365D"/>
          <w:sz w:val="32"/>
        </w:rPr>
        <w:t>6. Acceptance Criteria Verification</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fill="1B365D"/>
          </w:tcPr>
          <w:p>
            <w:pPr>
              <w:spacing w:after="0" w:line="252" w:lineRule="auto"/>
            </w:pPr>
            <w:r>
              <w:rPr>
                <w:rFonts w:ascii="Calibri" w:hAnsi="Calibri"/>
                <w:b/>
                <w:color w:val="FFFFFF"/>
                <w:sz w:val="19"/>
              </w:rPr>
              <w:t>Acceptance Criteria</w:t>
            </w:r>
          </w:p>
        </w:tc>
        <w:tc>
          <w:tcPr>
            <w:tcW w:type="dxa" w:w="3120"/>
            <w:tcMar>
              <w:top w:w="80" w:type="dxa"/>
              <w:bottom w:w="80" w:type="dxa"/>
              <w:left w:w="120" w:type="dxa"/>
              <w:right w:w="120" w:type="dxa"/>
            </w:tcMar>
            <w:shd w:fill="1B365D"/>
          </w:tcPr>
          <w:p>
            <w:pPr>
              <w:spacing w:after="0" w:line="252" w:lineRule="auto"/>
            </w:pPr>
            <w:r>
              <w:rPr>
                <w:rFonts w:ascii="Calibri" w:hAnsi="Calibri"/>
                <w:b/>
                <w:color w:val="FFFFFF"/>
                <w:sz w:val="19"/>
              </w:rPr>
              <w:t>Status</w:t>
            </w:r>
          </w:p>
        </w:tc>
        <w:tc>
          <w:tcPr>
            <w:tcW w:type="dxa" w:w="3120"/>
            <w:tcMar>
              <w:top w:w="80" w:type="dxa"/>
              <w:bottom w:w="80" w:type="dxa"/>
              <w:left w:w="120" w:type="dxa"/>
              <w:right w:w="120" w:type="dxa"/>
            </w:tcMar>
            <w:shd w:fill="1B365D"/>
          </w:tcPr>
          <w:p>
            <w:pPr>
              <w:spacing w:after="0" w:line="252" w:lineRule="auto"/>
            </w:pPr>
            <w:r>
              <w:rPr>
                <w:rFonts w:ascii="Calibri" w:hAnsi="Calibri"/>
                <w:b/>
                <w:color w:val="FFFFFF"/>
                <w:sz w:val="19"/>
              </w:rPr>
              <w:t>Implementation Reference</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Historical risk scores are successfully stored</w:t>
            </w:r>
          </w:p>
        </w:tc>
        <w:tc>
          <w:tcPr>
            <w:tcW w:type="dxa" w:w="3120"/>
            <w:tcMar>
              <w:top w:w="80" w:type="dxa"/>
              <w:bottom w:w="80" w:type="dxa"/>
              <w:left w:w="120" w:type="dxa"/>
              <w:right w:w="120" w:type="dxa"/>
            </w:tcMar>
            <w:shd w:fill="F7FAFC"/>
          </w:tcPr>
          <w:p>
            <w:pPr>
              <w:spacing w:after="0" w:line="252" w:lineRule="auto"/>
            </w:pPr>
            <w:r>
              <w:rPr>
                <w:rFonts w:ascii="Calibri" w:hAnsi="Calibri"/>
                <w:b/>
                <w:color w:val="276749"/>
                <w:sz w:val="19"/>
              </w:rPr>
              <w:t>PASSED</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RiskScoreHistory model &amp; HistoricalRiskStore</w:t>
            </w:r>
          </w:p>
        </w:tc>
      </w:tr>
      <w:tr>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Risk thresholds are calculated dynamically</w:t>
            </w:r>
          </w:p>
        </w:tc>
        <w:tc>
          <w:tcPr>
            <w:tcW w:type="dxa" w:w="3120"/>
            <w:tcMar>
              <w:top w:w="80" w:type="dxa"/>
              <w:bottom w:w="80" w:type="dxa"/>
              <w:left w:w="120" w:type="dxa"/>
              <w:right w:w="120" w:type="dxa"/>
            </w:tcMar>
            <w:shd w:fill="FFFFFF"/>
          </w:tcPr>
          <w:p>
            <w:pPr>
              <w:spacing w:after="0" w:line="252" w:lineRule="auto"/>
            </w:pPr>
            <w:r>
              <w:rPr>
                <w:rFonts w:ascii="Calibri" w:hAnsi="Calibri"/>
                <w:b/>
                <w:color w:val="276749"/>
                <w:sz w:val="19"/>
              </w:rPr>
              <w:t>PASSED</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AdaptiveThresholdManager &amp; strategies</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Adaptive mechanism works without breaking workflow</w:t>
            </w:r>
          </w:p>
        </w:tc>
        <w:tc>
          <w:tcPr>
            <w:tcW w:type="dxa" w:w="3120"/>
            <w:tcMar>
              <w:top w:w="80" w:type="dxa"/>
              <w:bottom w:w="80" w:type="dxa"/>
              <w:left w:w="120" w:type="dxa"/>
              <w:right w:w="120" w:type="dxa"/>
            </w:tcMar>
            <w:shd w:fill="F7FAFC"/>
          </w:tcPr>
          <w:p>
            <w:pPr>
              <w:spacing w:after="0" w:line="252" w:lineRule="auto"/>
            </w:pPr>
            <w:r>
              <w:rPr>
                <w:rFonts w:ascii="Calibri" w:hAnsi="Calibri"/>
                <w:b/>
                <w:color w:val="276749"/>
                <w:sz w:val="19"/>
              </w:rPr>
              <w:t>PASSED</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Integrated into RiskScoringEngine.classify_risk</w:t>
            </w:r>
          </w:p>
        </w:tc>
      </w:tr>
      <w:tr>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Threshold calculation logic is modular &amp; configurable</w:t>
            </w:r>
          </w:p>
        </w:tc>
        <w:tc>
          <w:tcPr>
            <w:tcW w:type="dxa" w:w="3120"/>
            <w:tcMar>
              <w:top w:w="80" w:type="dxa"/>
              <w:bottom w:w="80" w:type="dxa"/>
              <w:left w:w="120" w:type="dxa"/>
              <w:right w:w="120" w:type="dxa"/>
            </w:tcMar>
            <w:shd w:fill="FFFFFF"/>
          </w:tcPr>
          <w:p>
            <w:pPr>
              <w:spacing w:after="0" w:line="252" w:lineRule="auto"/>
            </w:pPr>
            <w:r>
              <w:rPr>
                <w:rFonts w:ascii="Calibri" w:hAnsi="Calibri"/>
                <w:b/>
                <w:color w:val="276749"/>
                <w:sz w:val="19"/>
              </w:rPr>
              <w:t>PASSED</w:t>
            </w:r>
          </w:p>
        </w:tc>
        <w:tc>
          <w:tcPr>
            <w:tcW w:type="dxa" w:w="3120"/>
            <w:tcMar>
              <w:top w:w="80" w:type="dxa"/>
              <w:bottom w:w="80" w:type="dxa"/>
              <w:left w:w="120" w:type="dxa"/>
              <w:right w:w="120" w:type="dxa"/>
            </w:tcMar>
            <w:shd w:fill="FFFFFF"/>
          </w:tcPr>
          <w:p>
            <w:pPr>
              <w:spacing w:after="0" w:line="252" w:lineRule="auto"/>
            </w:pPr>
            <w:r>
              <w:rPr>
                <w:rFonts w:ascii="Calibri" w:hAnsi="Calibri"/>
                <w:color w:val="2D3748"/>
                <w:sz w:val="19"/>
              </w:rPr>
              <w:t>BaseThresholdStrategy pattern &amp; RISK_CONFIG</w:t>
            </w:r>
          </w:p>
        </w:tc>
      </w:tr>
      <w:tr>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All existing unit tests continue to pass</w:t>
            </w:r>
          </w:p>
        </w:tc>
        <w:tc>
          <w:tcPr>
            <w:tcW w:type="dxa" w:w="3120"/>
            <w:tcMar>
              <w:top w:w="80" w:type="dxa"/>
              <w:bottom w:w="80" w:type="dxa"/>
              <w:left w:w="120" w:type="dxa"/>
              <w:right w:w="120" w:type="dxa"/>
            </w:tcMar>
            <w:shd w:fill="F7FAFC"/>
          </w:tcPr>
          <w:p>
            <w:pPr>
              <w:spacing w:after="0" w:line="252" w:lineRule="auto"/>
            </w:pPr>
            <w:r>
              <w:rPr>
                <w:rFonts w:ascii="Calibri" w:hAnsi="Calibri"/>
                <w:b/>
                <w:color w:val="276749"/>
                <w:sz w:val="19"/>
              </w:rPr>
              <w:t>PASSED</w:t>
            </w:r>
          </w:p>
        </w:tc>
        <w:tc>
          <w:tcPr>
            <w:tcW w:type="dxa" w:w="3120"/>
            <w:tcMar>
              <w:top w:w="80" w:type="dxa"/>
              <w:bottom w:w="80" w:type="dxa"/>
              <w:left w:w="120" w:type="dxa"/>
              <w:right w:w="120" w:type="dxa"/>
            </w:tcMar>
            <w:shd w:fill="F7FAFC"/>
          </w:tcPr>
          <w:p>
            <w:pPr>
              <w:spacing w:after="0" w:line="252" w:lineRule="auto"/>
            </w:pPr>
            <w:r>
              <w:rPr>
                <w:rFonts w:ascii="Calibri" w:hAnsi="Calibri"/>
                <w:color w:val="2D3748"/>
                <w:sz w:val="19"/>
              </w:rPr>
              <w:t>66/66 unit tests passing</w:t>
            </w:r>
          </w:p>
        </w:tc>
      </w:tr>
    </w:tbl>
    <w:p>
      <w:pPr>
        <w:spacing w:before="280" w:after="80"/>
      </w:pPr>
      <w:r>
        <w:rPr>
          <w:rFonts w:ascii="Calibri" w:hAnsi="Calibri"/>
          <w:b/>
          <w:color w:val="1B365D"/>
          <w:sz w:val="32"/>
        </w:rPr>
        <w:t>7. Conclusion &amp; Repository Metadata</w:t>
      </w:r>
    </w:p>
    <w:p>
      <w:pPr>
        <w:spacing w:after="80" w:line="276" w:lineRule="auto"/>
      </w:pPr>
      <w:r>
        <w:rPr>
          <w:rFonts w:ascii="Calibri" w:hAnsi="Calibri"/>
          <w:color w:val="2D3748"/>
          <w:sz w:val="22"/>
        </w:rPr>
        <w:t>The feature branch fix/setup containing commit d62ff2c has been pushed to the remote repository. A pull request is ready to be merged into main.</w:t>
      </w:r>
    </w:p>
    <w:p>
      <w:pPr>
        <w:pStyle w:val="ListBullet"/>
        <w:spacing w:after="60" w:line="276" w:lineRule="auto"/>
      </w:pPr>
      <w:r>
        <w:rPr>
          <w:rFonts w:ascii="Calibri" w:hAnsi="Calibri"/>
          <w:b/>
          <w:color w:val="2D3748"/>
          <w:sz w:val="22"/>
        </w:rPr>
        <w:t xml:space="preserve">Git Commit: </w:t>
      </w:r>
      <w:r>
        <w:rPr>
          <w:rFonts w:ascii="Calibri" w:hAnsi="Calibri"/>
          <w:color w:val="2D3748"/>
          <w:sz w:val="22"/>
        </w:rPr>
        <w:t>d62ff2c - feat: implement adaptive risk scoring thresholds and historical store</w:t>
      </w:r>
    </w:p>
    <w:p>
      <w:pPr>
        <w:pStyle w:val="ListBullet"/>
        <w:spacing w:after="60" w:line="276" w:lineRule="auto"/>
      </w:pPr>
      <w:r>
        <w:rPr>
          <w:rFonts w:ascii="Calibri" w:hAnsi="Calibri"/>
          <w:b/>
          <w:color w:val="2D3748"/>
          <w:sz w:val="22"/>
        </w:rPr>
        <w:t xml:space="preserve">Git Branch: </w:t>
      </w:r>
      <w:r>
        <w:rPr>
          <w:rFonts w:ascii="Calibri" w:hAnsi="Calibri"/>
          <w:color w:val="2D3748"/>
          <w:sz w:val="22"/>
        </w:rPr>
        <w:t>fix/setup</w:t>
      </w:r>
    </w:p>
    <w:p>
      <w:pPr>
        <w:pStyle w:val="ListBullet"/>
        <w:spacing w:after="60" w:line="276" w:lineRule="auto"/>
      </w:pPr>
      <w:r>
        <w:rPr>
          <w:rFonts w:ascii="Calibri" w:hAnsi="Calibri"/>
          <w:b/>
          <w:color w:val="2D3748"/>
          <w:sz w:val="22"/>
        </w:rPr>
        <w:t xml:space="preserve">Pull Request URL: </w:t>
      </w:r>
      <w:r>
        <w:rPr>
          <w:rFonts w:ascii="Calibri" w:hAnsi="Calibri"/>
          <w:color w:val="2D3748"/>
          <w:sz w:val="22"/>
        </w:rPr>
        <w:t>https://github.com/milan79928/intelliview-orchestrator/pull/new/fix/setup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