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ACC71" w14:textId="77777777" w:rsidR="00127172" w:rsidRDefault="00127172">
      <w:pPr>
        <w:pStyle w:val="Heading3"/>
        <w:keepNext w:val="0"/>
        <w:keepLines w:val="0"/>
        <w:shd w:val="clear" w:color="auto" w:fill="FFFFFF"/>
        <w:spacing w:before="0" w:after="220" w:line="304" w:lineRule="auto"/>
        <w:rPr>
          <w:rFonts w:ascii="Roboto" w:eastAsia="Roboto" w:hAnsi="Roboto" w:cs="Roboto"/>
          <w:color w:val="424242"/>
          <w:sz w:val="21"/>
          <w:szCs w:val="21"/>
        </w:rPr>
      </w:pPr>
    </w:p>
    <w:p w14:paraId="5B1ACC72" w14:textId="77777777" w:rsidR="00127172" w:rsidRDefault="00556EE9">
      <w:pPr>
        <w:pStyle w:val="Heading3"/>
        <w:keepNext w:val="0"/>
        <w:keepLines w:val="0"/>
        <w:shd w:val="clear" w:color="auto" w:fill="FFFFFF"/>
        <w:spacing w:before="0" w:after="220" w:line="304" w:lineRule="auto"/>
        <w:rPr>
          <w:rFonts w:ascii="Roboto" w:eastAsia="Roboto" w:hAnsi="Roboto" w:cs="Roboto"/>
          <w:b/>
          <w:color w:val="424242"/>
          <w:sz w:val="30"/>
          <w:szCs w:val="30"/>
        </w:rPr>
      </w:pPr>
      <w:bookmarkStart w:id="0" w:name="_513un3zfln82" w:colFirst="0" w:colLast="0"/>
      <w:bookmarkEnd w:id="0"/>
      <w:r>
        <w:rPr>
          <w:rFonts w:ascii="Roboto" w:eastAsia="Roboto" w:hAnsi="Roboto" w:cs="Roboto"/>
          <w:b/>
          <w:color w:val="424242"/>
          <w:sz w:val="30"/>
          <w:szCs w:val="30"/>
        </w:rPr>
        <w:t>Important Links</w:t>
      </w:r>
    </w:p>
    <w:p w14:paraId="5B1ACC73" w14:textId="13498D87" w:rsidR="00127172" w:rsidRDefault="00556EE9">
      <w:pPr>
        <w:numPr>
          <w:ilvl w:val="0"/>
          <w:numId w:val="1"/>
        </w:num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spacing w:line="377" w:lineRule="auto"/>
        <w:rPr>
          <w:color w:val="424242"/>
        </w:rPr>
      </w:pPr>
      <w:hyperlink r:id="rId5">
        <w:proofErr w:type="gramStart"/>
        <w:r>
          <w:rPr>
            <w:rFonts w:ascii="Roboto" w:eastAsia="Roboto" w:hAnsi="Roboto" w:cs="Roboto"/>
            <w:color w:val="F47B5A"/>
            <w:sz w:val="21"/>
            <w:szCs w:val="21"/>
          </w:rPr>
          <w:t>PRE OPE</w:t>
        </w:r>
        <w:r>
          <w:rPr>
            <w:rFonts w:ascii="Roboto" w:eastAsia="Roboto" w:hAnsi="Roboto" w:cs="Roboto"/>
            <w:color w:val="F47B5A"/>
            <w:sz w:val="21"/>
            <w:szCs w:val="21"/>
          </w:rPr>
          <w:t>N</w:t>
        </w:r>
        <w:proofErr w:type="gramEnd"/>
        <w:r>
          <w:rPr>
            <w:rFonts w:ascii="Roboto" w:eastAsia="Roboto" w:hAnsi="Roboto" w:cs="Roboto"/>
            <w:color w:val="F47B5A"/>
            <w:sz w:val="21"/>
            <w:szCs w:val="21"/>
          </w:rPr>
          <w:t xml:space="preserve"> SESSION</w:t>
        </w:r>
      </w:hyperlink>
    </w:p>
    <w:p w14:paraId="5B1ACC81" w14:textId="77777777" w:rsidR="00127172" w:rsidRDefault="00556EE9">
      <w:pPr>
        <w:numPr>
          <w:ilvl w:val="0"/>
          <w:numId w:val="1"/>
        </w:num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spacing w:line="377" w:lineRule="auto"/>
        <w:rPr>
          <w:color w:val="424242"/>
        </w:rPr>
      </w:pPr>
      <w:hyperlink r:id="rId6">
        <w:r>
          <w:rPr>
            <w:rFonts w:ascii="Roboto" w:eastAsia="Roboto" w:hAnsi="Roboto" w:cs="Roboto"/>
            <w:color w:val="F47B5A"/>
            <w:sz w:val="21"/>
            <w:szCs w:val="21"/>
          </w:rPr>
          <w:t>NSE I</w:t>
        </w:r>
        <w:r>
          <w:rPr>
            <w:rFonts w:ascii="Roboto" w:eastAsia="Roboto" w:hAnsi="Roboto" w:cs="Roboto"/>
            <w:color w:val="F47B5A"/>
            <w:sz w:val="21"/>
            <w:szCs w:val="21"/>
          </w:rPr>
          <w:t>n</w:t>
        </w:r>
        <w:r>
          <w:rPr>
            <w:rFonts w:ascii="Roboto" w:eastAsia="Roboto" w:hAnsi="Roboto" w:cs="Roboto"/>
            <w:color w:val="F47B5A"/>
            <w:sz w:val="21"/>
            <w:szCs w:val="21"/>
          </w:rPr>
          <w:t>dia</w:t>
        </w:r>
      </w:hyperlink>
    </w:p>
    <w:p w14:paraId="5B1ACC82" w14:textId="77777777" w:rsidR="00127172" w:rsidRDefault="00556EE9">
      <w:pPr>
        <w:numPr>
          <w:ilvl w:val="0"/>
          <w:numId w:val="1"/>
        </w:num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spacing w:line="377" w:lineRule="auto"/>
        <w:rPr>
          <w:color w:val="424242"/>
        </w:rPr>
      </w:pPr>
      <w:hyperlink r:id="rId7">
        <w:r>
          <w:rPr>
            <w:rFonts w:ascii="Roboto" w:eastAsia="Roboto" w:hAnsi="Roboto" w:cs="Roboto"/>
            <w:color w:val="F47B5A"/>
            <w:sz w:val="21"/>
            <w:szCs w:val="21"/>
          </w:rPr>
          <w:t xml:space="preserve">BSE </w:t>
        </w:r>
        <w:r>
          <w:rPr>
            <w:rFonts w:ascii="Roboto" w:eastAsia="Roboto" w:hAnsi="Roboto" w:cs="Roboto"/>
            <w:color w:val="F47B5A"/>
            <w:sz w:val="21"/>
            <w:szCs w:val="21"/>
          </w:rPr>
          <w:t>India</w:t>
        </w:r>
      </w:hyperlink>
    </w:p>
    <w:p w14:paraId="5B1ACC83" w14:textId="77777777" w:rsidR="00127172" w:rsidRDefault="00556EE9">
      <w:pPr>
        <w:numPr>
          <w:ilvl w:val="0"/>
          <w:numId w:val="1"/>
        </w:num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spacing w:line="377" w:lineRule="auto"/>
        <w:rPr>
          <w:color w:val="424242"/>
        </w:rPr>
      </w:pPr>
      <w:hyperlink r:id="rId8">
        <w:r>
          <w:rPr>
            <w:rFonts w:ascii="Roboto" w:eastAsia="Roboto" w:hAnsi="Roboto" w:cs="Roboto"/>
            <w:color w:val="F47B5A"/>
            <w:sz w:val="21"/>
            <w:szCs w:val="21"/>
          </w:rPr>
          <w:t>SEBI</w:t>
        </w:r>
      </w:hyperlink>
    </w:p>
    <w:p w14:paraId="5B1ACC84" w14:textId="77777777" w:rsidR="00127172" w:rsidRDefault="00556EE9">
      <w:pPr>
        <w:numPr>
          <w:ilvl w:val="0"/>
          <w:numId w:val="1"/>
        </w:num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spacing w:line="377" w:lineRule="auto"/>
        <w:rPr>
          <w:color w:val="424242"/>
        </w:rPr>
      </w:pPr>
      <w:hyperlink r:id="rId9">
        <w:r>
          <w:rPr>
            <w:rFonts w:ascii="Roboto" w:eastAsia="Roboto" w:hAnsi="Roboto" w:cs="Roboto"/>
            <w:color w:val="F47B5A"/>
            <w:sz w:val="21"/>
            <w:szCs w:val="21"/>
          </w:rPr>
          <w:t>RBI</w:t>
        </w:r>
      </w:hyperlink>
    </w:p>
    <w:p w14:paraId="5B1ACC85" w14:textId="77777777" w:rsidR="00127172" w:rsidRDefault="00556EE9">
      <w:pPr>
        <w:numPr>
          <w:ilvl w:val="0"/>
          <w:numId w:val="1"/>
        </w:num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spacing w:line="377" w:lineRule="auto"/>
        <w:rPr>
          <w:color w:val="424242"/>
        </w:rPr>
      </w:pPr>
      <w:hyperlink r:id="rId10">
        <w:r>
          <w:rPr>
            <w:rFonts w:ascii="Roboto" w:eastAsia="Roboto" w:hAnsi="Roboto" w:cs="Roboto"/>
            <w:color w:val="F47B5A"/>
            <w:sz w:val="21"/>
            <w:szCs w:val="21"/>
          </w:rPr>
          <w:t>MCX</w:t>
        </w:r>
      </w:hyperlink>
    </w:p>
    <w:p w14:paraId="5B1ACC86" w14:textId="77777777" w:rsidR="00127172" w:rsidRDefault="00556EE9">
      <w:pPr>
        <w:numPr>
          <w:ilvl w:val="0"/>
          <w:numId w:val="1"/>
        </w:num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spacing w:line="377" w:lineRule="auto"/>
        <w:rPr>
          <w:color w:val="424242"/>
        </w:rPr>
      </w:pPr>
      <w:hyperlink r:id="rId11">
        <w:r>
          <w:rPr>
            <w:rFonts w:ascii="Roboto" w:eastAsia="Roboto" w:hAnsi="Roboto" w:cs="Roboto"/>
            <w:color w:val="F47B5A"/>
            <w:sz w:val="21"/>
            <w:szCs w:val="21"/>
          </w:rPr>
          <w:t>MSEI</w:t>
        </w:r>
      </w:hyperlink>
    </w:p>
    <w:p w14:paraId="5B1ACC87" w14:textId="77777777" w:rsidR="00127172" w:rsidRDefault="00556EE9">
      <w:pPr>
        <w:numPr>
          <w:ilvl w:val="0"/>
          <w:numId w:val="1"/>
        </w:num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spacing w:line="377" w:lineRule="auto"/>
        <w:rPr>
          <w:color w:val="424242"/>
        </w:rPr>
      </w:pPr>
      <w:hyperlink r:id="rId12">
        <w:r>
          <w:rPr>
            <w:rFonts w:ascii="Roboto" w:eastAsia="Roboto" w:hAnsi="Roboto" w:cs="Roboto"/>
            <w:color w:val="F47B5A"/>
            <w:sz w:val="21"/>
            <w:szCs w:val="21"/>
          </w:rPr>
          <w:t>NCDEX</w:t>
        </w:r>
      </w:hyperlink>
    </w:p>
    <w:p w14:paraId="5B1ACC88" w14:textId="77777777" w:rsidR="00127172" w:rsidRDefault="00556EE9">
      <w:pPr>
        <w:numPr>
          <w:ilvl w:val="0"/>
          <w:numId w:val="1"/>
        </w:num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spacing w:line="377" w:lineRule="auto"/>
        <w:rPr>
          <w:color w:val="424242"/>
        </w:rPr>
      </w:pPr>
      <w:hyperlink r:id="rId13">
        <w:r>
          <w:rPr>
            <w:rFonts w:ascii="Roboto" w:eastAsia="Roboto" w:hAnsi="Roboto" w:cs="Roboto"/>
            <w:color w:val="F47B5A"/>
            <w:sz w:val="21"/>
            <w:szCs w:val="21"/>
          </w:rPr>
          <w:t>NSDL</w:t>
        </w:r>
      </w:hyperlink>
    </w:p>
    <w:p w14:paraId="5B1ACC89" w14:textId="77777777" w:rsidR="00127172" w:rsidRDefault="00556EE9">
      <w:pPr>
        <w:numPr>
          <w:ilvl w:val="0"/>
          <w:numId w:val="1"/>
        </w:num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spacing w:line="377" w:lineRule="auto"/>
        <w:rPr>
          <w:color w:val="424242"/>
        </w:rPr>
      </w:pPr>
      <w:hyperlink r:id="rId14">
        <w:r>
          <w:rPr>
            <w:rFonts w:ascii="Roboto" w:eastAsia="Roboto" w:hAnsi="Roboto" w:cs="Roboto"/>
            <w:color w:val="F47B5A"/>
            <w:sz w:val="21"/>
            <w:szCs w:val="21"/>
          </w:rPr>
          <w:t>CDSL</w:t>
        </w:r>
      </w:hyperlink>
    </w:p>
    <w:p w14:paraId="5B1ACC8A" w14:textId="77777777" w:rsidR="00127172" w:rsidRDefault="00556EE9">
      <w:pPr>
        <w:numPr>
          <w:ilvl w:val="0"/>
          <w:numId w:val="1"/>
        </w:num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spacing w:after="600" w:line="377" w:lineRule="auto"/>
        <w:rPr>
          <w:color w:val="424242"/>
        </w:rPr>
      </w:pPr>
      <w:hyperlink r:id="rId15">
        <w:r>
          <w:rPr>
            <w:rFonts w:ascii="Roboto" w:eastAsia="Roboto" w:hAnsi="Roboto" w:cs="Roboto"/>
            <w:color w:val="F47B5A"/>
            <w:sz w:val="21"/>
            <w:szCs w:val="21"/>
          </w:rPr>
          <w:t>MSEI</w:t>
        </w:r>
      </w:hyperlink>
    </w:p>
    <w:p w14:paraId="5B1ACC8B" w14:textId="77777777" w:rsidR="00127172" w:rsidRDefault="00556EE9">
      <w:pPr>
        <w:shd w:val="clear" w:color="auto" w:fill="FFFFFF"/>
        <w:spacing w:after="220"/>
        <w:rPr>
          <w:rFonts w:ascii="Roboto" w:eastAsia="Roboto" w:hAnsi="Roboto" w:cs="Roboto"/>
          <w:b/>
          <w:color w:val="424242"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color w:val="424242"/>
          <w:sz w:val="21"/>
          <w:szCs w:val="21"/>
          <w:highlight w:val="white"/>
        </w:rPr>
        <w:t>Arbitration Mechanism in Stock Exchanges:</w:t>
      </w:r>
    </w:p>
    <w:p w14:paraId="5B1ACC8C" w14:textId="77777777" w:rsidR="00127172" w:rsidRDefault="00556EE9">
      <w:pPr>
        <w:numPr>
          <w:ilvl w:val="0"/>
          <w:numId w:val="2"/>
        </w:num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spacing w:line="377" w:lineRule="auto"/>
        <w:jc w:val="right"/>
        <w:rPr>
          <w:color w:val="424242"/>
        </w:rPr>
      </w:pPr>
      <w:hyperlink r:id="rId16">
        <w:r>
          <w:rPr>
            <w:rFonts w:ascii="Roboto" w:eastAsia="Roboto" w:hAnsi="Roboto" w:cs="Roboto"/>
            <w:color w:val="F47B5A"/>
            <w:sz w:val="21"/>
            <w:szCs w:val="21"/>
          </w:rPr>
          <w:t>SEBI Circular No. Aug 11 2010</w:t>
        </w:r>
      </w:hyperlink>
    </w:p>
    <w:p w14:paraId="5B1ACC8D" w14:textId="77777777" w:rsidR="00127172" w:rsidRDefault="00556EE9">
      <w:pPr>
        <w:numPr>
          <w:ilvl w:val="0"/>
          <w:numId w:val="2"/>
        </w:num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spacing w:line="377" w:lineRule="auto"/>
        <w:rPr>
          <w:color w:val="424242"/>
        </w:rPr>
      </w:pPr>
      <w:hyperlink r:id="rId17">
        <w:r>
          <w:rPr>
            <w:rFonts w:ascii="Roboto" w:eastAsia="Roboto" w:hAnsi="Roboto" w:cs="Roboto"/>
            <w:color w:val="F47B5A"/>
            <w:sz w:val="21"/>
            <w:szCs w:val="21"/>
          </w:rPr>
          <w:t>SEBI Circular No. Aug 31 2010</w:t>
        </w:r>
      </w:hyperlink>
    </w:p>
    <w:p w14:paraId="5B1ACC8E" w14:textId="77777777" w:rsidR="00127172" w:rsidRDefault="00556EE9">
      <w:pPr>
        <w:numPr>
          <w:ilvl w:val="0"/>
          <w:numId w:val="2"/>
        </w:num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spacing w:line="377" w:lineRule="auto"/>
        <w:rPr>
          <w:color w:val="424242"/>
        </w:rPr>
      </w:pPr>
      <w:hyperlink r:id="rId18">
        <w:r>
          <w:rPr>
            <w:rFonts w:ascii="Roboto" w:eastAsia="Roboto" w:hAnsi="Roboto" w:cs="Roboto"/>
            <w:color w:val="F47B5A"/>
            <w:sz w:val="21"/>
            <w:szCs w:val="21"/>
          </w:rPr>
          <w:t>SEBI Circular No. Feb 09 2011</w:t>
        </w:r>
      </w:hyperlink>
    </w:p>
    <w:p w14:paraId="5B1ACC8F" w14:textId="77777777" w:rsidR="00127172" w:rsidRDefault="00556EE9">
      <w:pPr>
        <w:numPr>
          <w:ilvl w:val="0"/>
          <w:numId w:val="2"/>
        </w:num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spacing w:line="377" w:lineRule="auto"/>
        <w:rPr>
          <w:color w:val="424242"/>
        </w:rPr>
      </w:pPr>
      <w:hyperlink r:id="rId19">
        <w:r>
          <w:rPr>
            <w:rFonts w:ascii="Roboto" w:eastAsia="Roboto" w:hAnsi="Roboto" w:cs="Roboto"/>
            <w:color w:val="F47B5A"/>
            <w:sz w:val="21"/>
            <w:szCs w:val="21"/>
          </w:rPr>
          <w:t>SEBI Circular No. Jul 05 2013</w:t>
        </w:r>
      </w:hyperlink>
    </w:p>
    <w:p w14:paraId="5B1ACC90" w14:textId="77777777" w:rsidR="00127172" w:rsidRDefault="00556EE9">
      <w:pPr>
        <w:numPr>
          <w:ilvl w:val="0"/>
          <w:numId w:val="2"/>
        </w:num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spacing w:after="600" w:line="377" w:lineRule="auto"/>
        <w:rPr>
          <w:color w:val="424242"/>
        </w:rPr>
      </w:pPr>
      <w:hyperlink r:id="rId20">
        <w:r>
          <w:rPr>
            <w:rFonts w:ascii="Roboto" w:eastAsia="Roboto" w:hAnsi="Roboto" w:cs="Roboto"/>
            <w:color w:val="F47B5A"/>
            <w:sz w:val="21"/>
            <w:szCs w:val="21"/>
          </w:rPr>
          <w:t>SEBI Circular No. Jul 05 2013</w:t>
        </w:r>
      </w:hyperlink>
    </w:p>
    <w:p w14:paraId="5B1ACC91" w14:textId="77777777" w:rsidR="00127172" w:rsidRDefault="00127172">
      <w:pPr>
        <w:shd w:val="clear" w:color="auto" w:fill="FFFFFF"/>
        <w:spacing w:after="220"/>
        <w:rPr>
          <w:rFonts w:ascii="Roboto" w:eastAsia="Roboto" w:hAnsi="Roboto" w:cs="Roboto"/>
          <w:color w:val="424242"/>
          <w:sz w:val="21"/>
          <w:szCs w:val="21"/>
        </w:rPr>
      </w:pPr>
    </w:p>
    <w:p w14:paraId="5B1ACC92" w14:textId="77777777" w:rsidR="00127172" w:rsidRDefault="00127172">
      <w:pPr>
        <w:spacing w:before="240" w:after="240"/>
      </w:pPr>
    </w:p>
    <w:sectPr w:rsidR="001271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165F6"/>
    <w:multiLevelType w:val="multilevel"/>
    <w:tmpl w:val="DBDE908A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C6442A"/>
    <w:multiLevelType w:val="multilevel"/>
    <w:tmpl w:val="7C32F38E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172"/>
    <w:rsid w:val="00127172"/>
    <w:rsid w:val="0055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CC71"/>
  <w15:docId w15:val="{C3F04DF0-248B-4A79-B50E-C6DC418C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bi.gov.in/" TargetMode="External"/><Relationship Id="rId13" Type="http://schemas.openxmlformats.org/officeDocument/2006/relationships/hyperlink" Target="http://www.nsdl.co.in/" TargetMode="External"/><Relationship Id="rId18" Type="http://schemas.openxmlformats.org/officeDocument/2006/relationships/hyperlink" Target="https://www.sharekhan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bseindia.com/" TargetMode="External"/><Relationship Id="rId12" Type="http://schemas.openxmlformats.org/officeDocument/2006/relationships/hyperlink" Target="http://www.ncdex.com/" TargetMode="External"/><Relationship Id="rId17" Type="http://schemas.openxmlformats.org/officeDocument/2006/relationships/hyperlink" Target="https://www.sharekhan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harekhan.com/" TargetMode="External"/><Relationship Id="rId20" Type="http://schemas.openxmlformats.org/officeDocument/2006/relationships/hyperlink" Target="https://www.sharekhan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nseindia.com/" TargetMode="External"/><Relationship Id="rId11" Type="http://schemas.openxmlformats.org/officeDocument/2006/relationships/hyperlink" Target="https://www.msei.in/" TargetMode="External"/><Relationship Id="rId5" Type="http://schemas.openxmlformats.org/officeDocument/2006/relationships/hyperlink" Target="https://www1.nseindia.com/live_market/dynaContent/live_watch/pre_open_market/pre_open_market.htm" TargetMode="External"/><Relationship Id="rId15" Type="http://schemas.openxmlformats.org/officeDocument/2006/relationships/hyperlink" Target="https://www.msei.in/" TargetMode="External"/><Relationship Id="rId10" Type="http://schemas.openxmlformats.org/officeDocument/2006/relationships/hyperlink" Target="http://www.mcxindia.com/" TargetMode="External"/><Relationship Id="rId19" Type="http://schemas.openxmlformats.org/officeDocument/2006/relationships/hyperlink" Target="https://www.sharekha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bi.org.in/" TargetMode="External"/><Relationship Id="rId14" Type="http://schemas.openxmlformats.org/officeDocument/2006/relationships/hyperlink" Target="http://www.cdslindia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Patel</cp:lastModifiedBy>
  <cp:revision>2</cp:revision>
  <dcterms:created xsi:type="dcterms:W3CDTF">2020-09-08T13:49:00Z</dcterms:created>
  <dcterms:modified xsi:type="dcterms:W3CDTF">2020-09-08T13:52:00Z</dcterms:modified>
</cp:coreProperties>
</file>