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Aptos Display" w:hAnsi="Aptos Display"/>
          <w:b/>
          <w:color w:val="111827"/>
          <w:sz w:val="36"/>
        </w:rPr>
        <w:t>GreyB</w:t>
      </w:r>
    </w:p>
    <w:p>
      <w:pPr>
        <w:spacing w:after="240"/>
      </w:pPr>
      <w:r>
        <w:rPr>
          <w:rFonts w:ascii="Aptos" w:hAnsi="Aptos"/>
          <w:b/>
          <w:color w:val="6B7280"/>
          <w:sz w:val="18"/>
        </w:rPr>
        <w:t>CONFIDENTIAL RESEARCH STUDY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248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metic_packaging_h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48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80"/>
      </w:pPr>
      <w:r>
        <w:rPr>
          <w:rFonts w:ascii="Aptos Display" w:hAnsi="Aptos Display"/>
          <w:b/>
          <w:color w:val="111827"/>
          <w:sz w:val="54"/>
        </w:rPr>
        <w:t>Cosmetic Packaging Lightweighting Study</w:t>
      </w:r>
    </w:p>
    <w:p>
      <w:pPr>
        <w:spacing w:after="400"/>
      </w:pPr>
      <w:r>
        <w:rPr>
          <w:rFonts w:ascii="Aptos" w:hAnsi="Aptos"/>
          <w:color w:val="4B5563"/>
          <w:sz w:val="26"/>
        </w:rPr>
        <w:t>Commercial Material Opportunity Landscape complemented by Patent Landscape &amp; IP White-Space Analysis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232"/>
            <w:vAlign w:val="center"/>
            <w:shd w:fill="F3F4F6"/>
          </w:tcPr>
          <w:p>
            <w:r>
              <w:rPr>
                <w:rFonts w:ascii="Aptos" w:hAnsi="Aptos"/>
                <w:b/>
                <w:color w:val="4B5563"/>
                <w:sz w:val="20"/>
              </w:rPr>
              <w:t>Prepared for</w:t>
            </w:r>
          </w:p>
        </w:tc>
        <w:tc>
          <w:tcPr>
            <w:tcW w:type="dxa" w:w="6984"/>
            <w:vAlign w:val="center"/>
            <w:shd w:fill="F3F4F6"/>
          </w:tcPr>
          <w:p>
            <w:r>
              <w:rPr>
                <w:rFonts w:ascii="Aptos" w:hAnsi="Aptos"/>
                <w:color w:val="111827"/>
                <w:sz w:val="20"/>
              </w:rPr>
              <w:t>GreyB</w:t>
            </w:r>
          </w:p>
        </w:tc>
      </w:tr>
      <w:tr>
        <w:tc>
          <w:tcPr>
            <w:tcW w:type="dxa" w:w="2232"/>
            <w:vAlign w:val="center"/>
            <w:shd w:fill="F3F4F6"/>
          </w:tcPr>
          <w:p>
            <w:r>
              <w:rPr>
                <w:rFonts w:ascii="Aptos" w:hAnsi="Aptos"/>
                <w:b/>
                <w:color w:val="4B5563"/>
                <w:sz w:val="20"/>
              </w:rPr>
              <w:t>Prepared by</w:t>
            </w:r>
          </w:p>
        </w:tc>
        <w:tc>
          <w:tcPr>
            <w:tcW w:type="dxa" w:w="6984"/>
            <w:vAlign w:val="center"/>
            <w:shd w:fill="F3F4F6"/>
          </w:tcPr>
          <w:p>
            <w:r>
              <w:rPr>
                <w:rFonts w:ascii="Aptos" w:hAnsi="Aptos"/>
                <w:color w:val="111827"/>
                <w:sz w:val="20"/>
              </w:rPr>
              <w:t>Scultra Research Workspace</w:t>
            </w:r>
          </w:p>
        </w:tc>
      </w:tr>
      <w:tr>
        <w:tc>
          <w:tcPr>
            <w:tcW w:type="dxa" w:w="2232"/>
            <w:vAlign w:val="center"/>
            <w:shd w:fill="F3F4F6"/>
          </w:tcPr>
          <w:p>
            <w:r>
              <w:rPr>
                <w:rFonts w:ascii="Aptos" w:hAnsi="Aptos"/>
                <w:b/>
                <w:color w:val="4B5563"/>
                <w:sz w:val="20"/>
              </w:rPr>
              <w:t>Date</w:t>
            </w:r>
          </w:p>
        </w:tc>
        <w:tc>
          <w:tcPr>
            <w:tcW w:type="dxa" w:w="6984"/>
            <w:vAlign w:val="center"/>
            <w:shd w:fill="F3F4F6"/>
          </w:tcPr>
          <w:p>
            <w:r>
              <w:rPr>
                <w:rFonts w:ascii="Aptos" w:hAnsi="Aptos"/>
                <w:color w:val="111827"/>
                <w:sz w:val="20"/>
              </w:rPr>
              <w:t>07/07/2026</w:t>
            </w:r>
          </w:p>
        </w:tc>
      </w:tr>
    </w:tbl>
    <w:p>
      <w:pPr>
        <w:spacing w:before="700"/>
      </w:pPr>
      <w:r>
        <w:rPr>
          <w:rFonts w:ascii="Aptos" w:hAnsi="Aptos"/>
          <w:color w:val="6B7280"/>
          <w:sz w:val="19"/>
        </w:rPr>
        <w:t>Scope: material-based lightweighting across cosmetic and personal care packaging, with commercial screening and IP landscape alignment.</w:t>
      </w:r>
    </w:p>
    <w:p>
      <w:pPr>
        <w:spacing w:before="1160"/>
      </w:pPr>
      <w:r>
        <w:rPr>
          <w:rFonts w:ascii="Aptos" w:hAnsi="Aptos"/>
          <w:color w:val="9CA3AF"/>
          <w:sz w:val="17"/>
        </w:rPr>
        <w:t>Prepared as a corporate-style title page for the combined study package.</w:t>
      </w:r>
    </w:p>
    <w:sectPr w:rsidR="00FC693F" w:rsidRPr="0006063C" w:rsidSect="00034616"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